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jc w:val="center"/>
        <w:tblLayout w:type="fixed"/>
        <w:tblLook w:val="0000" w:firstRow="0" w:lastRow="0" w:firstColumn="0" w:lastColumn="0" w:noHBand="0" w:noVBand="0"/>
      </w:tblPr>
      <w:tblGrid>
        <w:gridCol w:w="1134"/>
        <w:gridCol w:w="993"/>
        <w:gridCol w:w="1134"/>
        <w:gridCol w:w="1275"/>
        <w:gridCol w:w="3403"/>
        <w:gridCol w:w="1133"/>
      </w:tblGrid>
      <w:tr w:rsidR="00E905CA" w:rsidRPr="008D5E09" w14:paraId="233B0C70" w14:textId="77777777" w:rsidTr="008B1DDE">
        <w:trPr>
          <w:jc w:val="center"/>
        </w:trPr>
        <w:tc>
          <w:tcPr>
            <w:tcW w:w="3261" w:type="dxa"/>
            <w:gridSpan w:val="3"/>
          </w:tcPr>
          <w:p w14:paraId="2971C62E" w14:textId="77777777" w:rsidR="00E905CA" w:rsidRPr="008D5E09" w:rsidRDefault="00E905CA" w:rsidP="008B1DDE">
            <w:pPr>
              <w:pStyle w:val="Heading3"/>
              <w:rPr>
                <w:b w:val="0"/>
                <w:sz w:val="26"/>
                <w:szCs w:val="26"/>
                <w:highlight w:val="white"/>
              </w:rPr>
            </w:pPr>
            <w:r w:rsidRPr="008D5E09">
              <w:rPr>
                <w:sz w:val="26"/>
                <w:szCs w:val="26"/>
                <w:highlight w:val="white"/>
              </w:rPr>
              <w:t>ỦY BAN NHÂN DÂN</w:t>
            </w:r>
          </w:p>
        </w:tc>
        <w:tc>
          <w:tcPr>
            <w:tcW w:w="5811" w:type="dxa"/>
            <w:gridSpan w:val="3"/>
          </w:tcPr>
          <w:p w14:paraId="0CCCADFA" w14:textId="77777777" w:rsidR="00E905CA" w:rsidRPr="008D5E09" w:rsidRDefault="00E905CA" w:rsidP="008B1DDE">
            <w:pPr>
              <w:pStyle w:val="Heading3"/>
              <w:rPr>
                <w:b w:val="0"/>
                <w:sz w:val="26"/>
                <w:szCs w:val="26"/>
                <w:highlight w:val="white"/>
              </w:rPr>
            </w:pPr>
            <w:r w:rsidRPr="008D5E09">
              <w:rPr>
                <w:sz w:val="26"/>
                <w:szCs w:val="26"/>
                <w:highlight w:val="white"/>
              </w:rPr>
              <w:t>CỘNG HÒA XÃ HỘI CHỦ NGHĨA VIỆT NAM</w:t>
            </w:r>
          </w:p>
        </w:tc>
      </w:tr>
      <w:tr w:rsidR="00E905CA" w:rsidRPr="008D5E09" w14:paraId="7AE9E4D2" w14:textId="77777777" w:rsidTr="008B1DDE">
        <w:trPr>
          <w:jc w:val="center"/>
        </w:trPr>
        <w:tc>
          <w:tcPr>
            <w:tcW w:w="3261" w:type="dxa"/>
            <w:gridSpan w:val="3"/>
          </w:tcPr>
          <w:p w14:paraId="2B58FC81" w14:textId="77777777" w:rsidR="00E905CA" w:rsidRPr="008D5E09" w:rsidRDefault="00E905CA" w:rsidP="008B1DDE">
            <w:pPr>
              <w:pStyle w:val="Heading3"/>
              <w:rPr>
                <w:sz w:val="26"/>
                <w:szCs w:val="26"/>
                <w:highlight w:val="white"/>
              </w:rPr>
            </w:pPr>
            <w:r w:rsidRPr="008D5E09">
              <w:rPr>
                <w:sz w:val="26"/>
                <w:szCs w:val="26"/>
                <w:highlight w:val="white"/>
              </w:rPr>
              <w:t>HUYỆN TÂN HỒNG</w:t>
            </w:r>
          </w:p>
        </w:tc>
        <w:tc>
          <w:tcPr>
            <w:tcW w:w="5811" w:type="dxa"/>
            <w:gridSpan w:val="3"/>
          </w:tcPr>
          <w:p w14:paraId="0FDBB636" w14:textId="77777777" w:rsidR="00E905CA" w:rsidRPr="008D5E09" w:rsidRDefault="00E905CA" w:rsidP="008B1DDE">
            <w:pPr>
              <w:jc w:val="center"/>
              <w:rPr>
                <w:b/>
                <w:highlight w:val="white"/>
              </w:rPr>
            </w:pPr>
            <w:r w:rsidRPr="008D5E09">
              <w:rPr>
                <w:b/>
                <w:highlight w:val="white"/>
              </w:rPr>
              <w:t>Ðộc lập - Tự do - Hạnh phúc</w:t>
            </w:r>
          </w:p>
        </w:tc>
      </w:tr>
      <w:tr w:rsidR="00E905CA" w:rsidRPr="008D5E09" w14:paraId="1A9B2DE8" w14:textId="77777777" w:rsidTr="008B1DDE">
        <w:trPr>
          <w:cantSplit/>
          <w:trHeight w:val="20"/>
          <w:jc w:val="center"/>
        </w:trPr>
        <w:tc>
          <w:tcPr>
            <w:tcW w:w="1134" w:type="dxa"/>
          </w:tcPr>
          <w:p w14:paraId="79FC36C2" w14:textId="77777777" w:rsidR="00E905CA" w:rsidRPr="008D5E09" w:rsidRDefault="00E905CA" w:rsidP="008B1DDE">
            <w:pPr>
              <w:jc w:val="center"/>
              <w:rPr>
                <w:b/>
                <w:sz w:val="14"/>
                <w:highlight w:val="white"/>
              </w:rPr>
            </w:pPr>
          </w:p>
        </w:tc>
        <w:tc>
          <w:tcPr>
            <w:tcW w:w="993" w:type="dxa"/>
          </w:tcPr>
          <w:p w14:paraId="5BCDB506" w14:textId="77777777" w:rsidR="00E905CA" w:rsidRPr="008D5E09" w:rsidRDefault="00E905CA" w:rsidP="008B1DDE">
            <w:pPr>
              <w:jc w:val="center"/>
              <w:rPr>
                <w:b/>
                <w:sz w:val="14"/>
                <w:highlight w:val="white"/>
              </w:rPr>
            </w:pPr>
            <w:r w:rsidRPr="008D5E09">
              <w:rPr>
                <w:noProof/>
                <w:highlight w:val="white"/>
              </w:rPr>
              <mc:AlternateContent>
                <mc:Choice Requires="wps">
                  <w:drawing>
                    <wp:anchor distT="4294967294" distB="4294967294" distL="114300" distR="114300" simplePos="0" relativeHeight="251665408" behindDoc="0" locked="0" layoutInCell="1" allowOverlap="1" wp14:anchorId="7AFE65E9" wp14:editId="0C98A331">
                      <wp:simplePos x="0" y="0"/>
                      <wp:positionH relativeFrom="column">
                        <wp:posOffset>-64135</wp:posOffset>
                      </wp:positionH>
                      <wp:positionV relativeFrom="paragraph">
                        <wp:posOffset>-4446</wp:posOffset>
                      </wp:positionV>
                      <wp:extent cx="652145" cy="0"/>
                      <wp:effectExtent l="0" t="0" r="3365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1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44FC20" id="_x0000_t32" coordsize="21600,21600" o:spt="32" o:oned="t" path="m,l21600,21600e" filled="f">
                      <v:path arrowok="t" fillok="f" o:connecttype="none"/>
                      <o:lock v:ext="edit" shapetype="t"/>
                    </v:shapetype>
                    <v:shape id="Straight Arrow Connector 3" o:spid="_x0000_s1026" type="#_x0000_t32" style="position:absolute;margin-left:-5.05pt;margin-top:-.35pt;width:51.3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JJJAIAAEkEAAAOAAAAZHJzL2Uyb0RvYy54bWysVMGO2jAQvVfqP1i+QxIIFCLCapVAL9su&#10;EtsPMLZDrCYeyzYEVPXfa5sEse2lqpqDM8543ryZec7q6dI26My1ESBznIxjjLikwIQ85vjb23a0&#10;wMhYIhlpQPIcX7nBT+uPH1adyvgEamgY18iBSJN1Kse1tSqLIkNr3hIzBsWlc1agW2LdVh8jpknn&#10;0NsmmsTxPOpAM6WBcmPc1/LmxOuAX1Wc2teqMtyiJseOmw2rDuvBr9F6RbKjJqoWtKdB/oFFS4R0&#10;Se9QJbEEnbT4A6oVVIOByo4ptBFUlaA81OCqSeLfqtnXRPFQi2uOUfc2mf8HS7+edxoJluMpRpK0&#10;bkR7q4k41hY9aw0dKkBK10bQaOq71SmTuaBC7rSvl17kXr0A/W6QhKIm8sgD67erclCJj4jehfiN&#10;US7nofsCzJ0hJwuhdZdKtx7SNQVdwoSu9wnxi0XUfZzPJkk6w4gOrohkQ5zSxn7m0CJv5Nj0Zdz5&#10;JyELOb8Y61mRbAjwSSVsRdMENTQSdTleziazEGCgEcw7/TGjj4ei0ehMvJ7CE0p0nsdjGk6SBbCa&#10;E7bpbUtEc7Nd8kZ6PFeXo9NbN8H8WMbLzWKzSEfpZL4ZpXFZjp63RTqab5NPs3JaFkWZ/PTUkjSr&#10;BWNcenaDeJP078TRX6Ob7O7yvbcheo8e+uXIDu9AOgzWz/KmigOw604PA3d6DYf7u+UvxOPe2Y9/&#10;gPUvAAAA//8DAFBLAwQUAAYACAAAACEAbI1cvNsAAAAGAQAADwAAAGRycy9kb3ducmV2LnhtbEyO&#10;wU7DMBBE75X4B2uRuFStnUgUGuJUFRIHjrSVuLrxkgTidRQ7TejXs/TS3mY0o5mXbybXihP2ofGk&#10;IVkqEEiltw1VGg77t8UziBANWdN6Qg2/GGBT3M1yk1k/0geedrESPEIhMxrqGLtMylDW6ExY+g6J&#10;sy/fOxPZ9pW0vRl53LUyVWolnWmIH2rT4WuN5c9ucBowDI+J2q5ddXg/j/PP9Pw9dnutH+6n7QuI&#10;iFO8luEfn9GhYKajH8gG0WpYJCrhKosnEJyv0xWI48XKIpe3+MUfAAAA//8DAFBLAQItABQABgAI&#10;AAAAIQC2gziS/gAAAOEBAAATAAAAAAAAAAAAAAAAAAAAAABbQ29udGVudF9UeXBlc10ueG1sUEsB&#10;Ai0AFAAGAAgAAAAhADj9If/WAAAAlAEAAAsAAAAAAAAAAAAAAAAALwEAAF9yZWxzLy5yZWxzUEsB&#10;Ai0AFAAGAAgAAAAhAJVfokkkAgAASQQAAA4AAAAAAAAAAAAAAAAALgIAAGRycy9lMm9Eb2MueG1s&#10;UEsBAi0AFAAGAAgAAAAhAGyNXLzbAAAABgEAAA8AAAAAAAAAAAAAAAAAfgQAAGRycy9kb3ducmV2&#10;LnhtbFBLBQYAAAAABAAEAPMAAACGBQAAAAA=&#10;"/>
                  </w:pict>
                </mc:Fallback>
              </mc:AlternateContent>
            </w:r>
          </w:p>
        </w:tc>
        <w:tc>
          <w:tcPr>
            <w:tcW w:w="1134" w:type="dxa"/>
          </w:tcPr>
          <w:p w14:paraId="7DA68D74" w14:textId="77777777" w:rsidR="00E905CA" w:rsidRPr="008D5E09" w:rsidRDefault="00E905CA" w:rsidP="008B1DDE">
            <w:pPr>
              <w:jc w:val="center"/>
              <w:rPr>
                <w:b/>
                <w:sz w:val="14"/>
                <w:highlight w:val="white"/>
              </w:rPr>
            </w:pPr>
          </w:p>
        </w:tc>
        <w:tc>
          <w:tcPr>
            <w:tcW w:w="1275" w:type="dxa"/>
          </w:tcPr>
          <w:p w14:paraId="798D9904" w14:textId="77777777" w:rsidR="00E905CA" w:rsidRPr="008D5E09" w:rsidRDefault="00E905CA" w:rsidP="008B1DDE">
            <w:pPr>
              <w:jc w:val="center"/>
              <w:rPr>
                <w:b/>
                <w:sz w:val="14"/>
                <w:highlight w:val="white"/>
              </w:rPr>
            </w:pPr>
            <w:r w:rsidRPr="008D5E09">
              <w:rPr>
                <w:noProof/>
                <w:highlight w:val="white"/>
              </w:rPr>
              <mc:AlternateContent>
                <mc:Choice Requires="wps">
                  <w:drawing>
                    <wp:anchor distT="0" distB="0" distL="114300" distR="114300" simplePos="0" relativeHeight="251666432" behindDoc="0" locked="0" layoutInCell="1" allowOverlap="1" wp14:anchorId="56B958E7" wp14:editId="1F948869">
                      <wp:simplePos x="0" y="0"/>
                      <wp:positionH relativeFrom="column">
                        <wp:posOffset>709930</wp:posOffset>
                      </wp:positionH>
                      <wp:positionV relativeFrom="paragraph">
                        <wp:posOffset>-5080</wp:posOffset>
                      </wp:positionV>
                      <wp:extent cx="2122805" cy="635"/>
                      <wp:effectExtent l="0" t="0" r="29845" b="374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46B867" id="Straight Arrow Connector 2" o:spid="_x0000_s1026" type="#_x0000_t32" style="position:absolute;margin-left:55.9pt;margin-top:-.4pt;width:167.15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VX+JwIAAEwEAAAOAAAAZHJzL2Uyb0RvYy54bWysVE2P2jAQvVfqf7B8Z/OxQCEirFYJ9LLt&#10;IrH9AcZ2EquJx7INAVX977VNiJb2UlXNwRlnPG/ezDxn9XTuWnTi2giQOU4eYoy4pMCErHP87W07&#10;WWBkLJGMtCB5ji/c4Kf1xw+rXmU8hQZaxjVyINJkvcpxY63KosjQhnfEPIDi0jkr0B2xbqvriGnS&#10;O/SujdI4nkc9aKY0UG6M+1penXgd8KuKU/taVYZb1ObYcbNh1WE9+DVar0hWa6IaQQca5B9YdERI&#10;l3SEKokl6KjFH1CdoBoMVPaBQhdBVQnKQw2umiT+rZp9QxQPtbjmGDW2yfw/WPr1tNNIsBynGEnS&#10;uRHtrSaibix61hp6VICUro2gUeq71SuTuaBC7rSvl57lXr0A/W6QhKIhsuaB9dtFOajER0R3IX5j&#10;lMt56L8Ac2fI0UJo3bnSnYd0TUHnMKHLOCF+toi6j2mSpot4hhF1vvnjLOCT7BaqtLGfOXTIGzk2&#10;QyVjCUlIRE4vxnpiJLsF+LwStqJtgyBaifocL2fpLAQYaAXzTn/M6PpQtBqdiJdUeAYWd8c0HCUL&#10;YA0nbDPYloj2arvkrfR4rjRHZ7CumvmxjJebxWYxnUzT+WYyjcty8rwtppP5Nvk0Kx/LoiiTn55a&#10;Ms0awRiXnt1Nv8n07/Qx3KSr8kYFj22I7tFDvxzZ2zuQDrP147wK4wDsstO3mTvJhsPD9fJ34v3e&#10;2e9/AutfAAAA//8DAFBLAwQUAAYACAAAACEAj58botsAAAAHAQAADwAAAGRycy9kb3ducmV2Lnht&#10;bEyPy27CMBBF95X6D9YgdVOBY0QpTeMgVKmLLnlI3Zp4mqTE4yh2SMrXM6zK8uiO7j2TrUfXiDN2&#10;ofakQc0SEEiFtzWVGg77z+kKRIiGrGk8oYY/DLDOHx8yk1o/0BbPu1gKLqGQGg1VjG0qZSgqdCbM&#10;fIvE2Y/vnImMXSltZwYud42cJ8lSOlMTL1SmxY8Ki9Oudxow9C8q2by58vB1GZ6/55ffod1r/TQZ&#10;N+8gIo7x/xhu+qwOOTsdfU82iIZZKVaPGm4fcL5YLBWII/MryDyT9/75FQAA//8DAFBLAQItABQA&#10;BgAIAAAAIQC2gziS/gAAAOEBAAATAAAAAAAAAAAAAAAAAAAAAABbQ29udGVudF9UeXBlc10ueG1s&#10;UEsBAi0AFAAGAAgAAAAhADj9If/WAAAAlAEAAAsAAAAAAAAAAAAAAAAALwEAAF9yZWxzLy5yZWxz&#10;UEsBAi0AFAAGAAgAAAAhAJ19Vf4nAgAATAQAAA4AAAAAAAAAAAAAAAAALgIAAGRycy9lMm9Eb2Mu&#10;eG1sUEsBAi0AFAAGAAgAAAAhAI+fG6LbAAAABwEAAA8AAAAAAAAAAAAAAAAAgQQAAGRycy9kb3du&#10;cmV2LnhtbFBLBQYAAAAABAAEAPMAAACJBQAAAAA=&#10;"/>
                  </w:pict>
                </mc:Fallback>
              </mc:AlternateContent>
            </w:r>
          </w:p>
        </w:tc>
        <w:tc>
          <w:tcPr>
            <w:tcW w:w="3403" w:type="dxa"/>
          </w:tcPr>
          <w:p w14:paraId="483434A6" w14:textId="77777777" w:rsidR="00E905CA" w:rsidRPr="008D5E09" w:rsidRDefault="00E905CA" w:rsidP="008B1DDE">
            <w:pPr>
              <w:jc w:val="center"/>
              <w:rPr>
                <w:b/>
                <w:sz w:val="14"/>
                <w:highlight w:val="white"/>
              </w:rPr>
            </w:pPr>
          </w:p>
        </w:tc>
        <w:tc>
          <w:tcPr>
            <w:tcW w:w="1133" w:type="dxa"/>
          </w:tcPr>
          <w:p w14:paraId="15D4AA6F" w14:textId="77777777" w:rsidR="00E905CA" w:rsidRPr="008D5E09" w:rsidRDefault="00E905CA" w:rsidP="008B1DDE">
            <w:pPr>
              <w:rPr>
                <w:sz w:val="20"/>
                <w:highlight w:val="white"/>
              </w:rPr>
            </w:pPr>
          </w:p>
        </w:tc>
      </w:tr>
      <w:tr w:rsidR="00E905CA" w:rsidRPr="008D5E09" w14:paraId="0CB4466C" w14:textId="77777777" w:rsidTr="008B1DDE">
        <w:trPr>
          <w:jc w:val="center"/>
        </w:trPr>
        <w:tc>
          <w:tcPr>
            <w:tcW w:w="3261" w:type="dxa"/>
            <w:gridSpan w:val="3"/>
          </w:tcPr>
          <w:p w14:paraId="4E3CDEFE" w14:textId="77777777" w:rsidR="00E905CA" w:rsidRPr="008D5E09" w:rsidRDefault="00E905CA" w:rsidP="008B1DDE">
            <w:pPr>
              <w:spacing w:after="120"/>
              <w:jc w:val="center"/>
              <w:rPr>
                <w:highlight w:val="white"/>
              </w:rPr>
            </w:pPr>
            <w:r w:rsidRPr="008D5E09">
              <w:rPr>
                <w:highlight w:val="white"/>
              </w:rPr>
              <w:t xml:space="preserve">Số:    </w:t>
            </w:r>
            <w:r>
              <w:rPr>
                <w:highlight w:val="white"/>
              </w:rPr>
              <w:t xml:space="preserve">    </w:t>
            </w:r>
            <w:r w:rsidRPr="008D5E09">
              <w:rPr>
                <w:highlight w:val="white"/>
              </w:rPr>
              <w:t xml:space="preserve"> /BC-UBND</w:t>
            </w:r>
          </w:p>
        </w:tc>
        <w:tc>
          <w:tcPr>
            <w:tcW w:w="5811" w:type="dxa"/>
            <w:gridSpan w:val="3"/>
          </w:tcPr>
          <w:p w14:paraId="10439B94" w14:textId="77777777" w:rsidR="00E905CA" w:rsidRPr="008D5E09" w:rsidRDefault="00E905CA" w:rsidP="008B1DDE">
            <w:pPr>
              <w:pStyle w:val="Heading1"/>
              <w:spacing w:before="0" w:after="120"/>
              <w:jc w:val="center"/>
              <w:rPr>
                <w:rFonts w:ascii="Times New Roman" w:hAnsi="Times New Roman"/>
                <w:b w:val="0"/>
                <w:i/>
                <w:sz w:val="28"/>
                <w:szCs w:val="28"/>
                <w:highlight w:val="white"/>
                <w:lang w:val="en-US"/>
              </w:rPr>
            </w:pPr>
            <w:r w:rsidRPr="008D5E09">
              <w:rPr>
                <w:rFonts w:ascii="Times New Roman" w:hAnsi="Times New Roman"/>
                <w:b w:val="0"/>
                <w:i/>
                <w:sz w:val="28"/>
                <w:szCs w:val="28"/>
                <w:highlight w:val="white"/>
              </w:rPr>
              <w:t xml:space="preserve">Tân Hồng, ngày </w:t>
            </w:r>
            <w:r w:rsidRPr="008D5E09">
              <w:rPr>
                <w:rFonts w:ascii="Times New Roman" w:hAnsi="Times New Roman"/>
                <w:b w:val="0"/>
                <w:i/>
                <w:sz w:val="28"/>
                <w:szCs w:val="28"/>
                <w:highlight w:val="white"/>
                <w:lang w:val="en-US"/>
              </w:rPr>
              <w:t xml:space="preserve">  </w:t>
            </w:r>
            <w:r>
              <w:rPr>
                <w:rFonts w:ascii="Times New Roman" w:hAnsi="Times New Roman"/>
                <w:b w:val="0"/>
                <w:i/>
                <w:sz w:val="28"/>
                <w:szCs w:val="28"/>
                <w:highlight w:val="white"/>
                <w:lang w:val="en-US"/>
              </w:rPr>
              <w:t xml:space="preserve">  </w:t>
            </w:r>
            <w:r w:rsidRPr="008D5E09">
              <w:rPr>
                <w:rFonts w:ascii="Times New Roman" w:hAnsi="Times New Roman"/>
                <w:b w:val="0"/>
                <w:i/>
                <w:sz w:val="28"/>
                <w:szCs w:val="28"/>
                <w:highlight w:val="white"/>
                <w:lang w:val="en-US"/>
              </w:rPr>
              <w:t xml:space="preserve"> </w:t>
            </w:r>
            <w:r w:rsidRPr="008D5E09">
              <w:rPr>
                <w:rFonts w:ascii="Times New Roman" w:hAnsi="Times New Roman"/>
                <w:b w:val="0"/>
                <w:i/>
                <w:sz w:val="28"/>
                <w:szCs w:val="28"/>
                <w:highlight w:val="white"/>
              </w:rPr>
              <w:t xml:space="preserve"> tháng </w:t>
            </w:r>
            <w:r w:rsidRPr="008D5E09">
              <w:rPr>
                <w:rFonts w:ascii="Times New Roman" w:hAnsi="Times New Roman"/>
                <w:b w:val="0"/>
                <w:i/>
                <w:sz w:val="28"/>
                <w:szCs w:val="28"/>
                <w:highlight w:val="white"/>
                <w:lang w:val="en-US"/>
              </w:rPr>
              <w:t xml:space="preserve"> </w:t>
            </w:r>
            <w:r>
              <w:rPr>
                <w:rFonts w:ascii="Times New Roman" w:hAnsi="Times New Roman"/>
                <w:b w:val="0"/>
                <w:i/>
                <w:sz w:val="28"/>
                <w:szCs w:val="28"/>
                <w:highlight w:val="white"/>
                <w:lang w:val="en-US"/>
              </w:rPr>
              <w:t xml:space="preserve"> </w:t>
            </w:r>
            <w:r w:rsidRPr="008D5E09">
              <w:rPr>
                <w:rFonts w:ascii="Times New Roman" w:hAnsi="Times New Roman"/>
                <w:b w:val="0"/>
                <w:i/>
                <w:sz w:val="28"/>
                <w:szCs w:val="28"/>
                <w:highlight w:val="white"/>
                <w:lang w:val="en-US"/>
              </w:rPr>
              <w:t xml:space="preserve">  </w:t>
            </w:r>
            <w:r w:rsidRPr="008D5E09">
              <w:rPr>
                <w:rFonts w:ascii="Times New Roman" w:hAnsi="Times New Roman"/>
                <w:b w:val="0"/>
                <w:i/>
                <w:sz w:val="28"/>
                <w:szCs w:val="28"/>
                <w:highlight w:val="white"/>
              </w:rPr>
              <w:t xml:space="preserve"> năm 20</w:t>
            </w:r>
            <w:r w:rsidRPr="008D5E09">
              <w:rPr>
                <w:rFonts w:ascii="Times New Roman" w:hAnsi="Times New Roman"/>
                <w:b w:val="0"/>
                <w:i/>
                <w:sz w:val="28"/>
                <w:szCs w:val="28"/>
                <w:highlight w:val="white"/>
                <w:lang w:val="en-US"/>
              </w:rPr>
              <w:t>2</w:t>
            </w:r>
            <w:r>
              <w:rPr>
                <w:rFonts w:ascii="Times New Roman" w:hAnsi="Times New Roman"/>
                <w:b w:val="0"/>
                <w:i/>
                <w:sz w:val="28"/>
                <w:szCs w:val="28"/>
                <w:highlight w:val="white"/>
                <w:lang w:val="en-US"/>
              </w:rPr>
              <w:t>5</w:t>
            </w:r>
          </w:p>
        </w:tc>
      </w:tr>
    </w:tbl>
    <w:p w14:paraId="2C08832E" w14:textId="12441D32" w:rsidR="00BA5065" w:rsidRPr="008D5E09" w:rsidRDefault="00BA5065" w:rsidP="00E905CA">
      <w:pPr>
        <w:spacing w:after="120"/>
        <w:rPr>
          <w:b/>
          <w:i/>
          <w:sz w:val="4"/>
          <w:szCs w:val="20"/>
          <w:highlight w:val="white"/>
        </w:rPr>
      </w:pPr>
    </w:p>
    <w:p w14:paraId="5D9D5240" w14:textId="77777777" w:rsidR="00BA5065" w:rsidRPr="008D5E09" w:rsidRDefault="00BA5065" w:rsidP="00BA5065">
      <w:pPr>
        <w:spacing w:after="120"/>
        <w:ind w:firstLine="567"/>
        <w:rPr>
          <w:b/>
          <w:i/>
          <w:sz w:val="4"/>
          <w:szCs w:val="20"/>
          <w:highlight w:val="white"/>
        </w:rPr>
      </w:pPr>
    </w:p>
    <w:p w14:paraId="77695995" w14:textId="77777777" w:rsidR="00BA5065" w:rsidRPr="008D5E09" w:rsidRDefault="00BA5065" w:rsidP="00BA5065">
      <w:pPr>
        <w:tabs>
          <w:tab w:val="left" w:pos="1335"/>
        </w:tabs>
        <w:jc w:val="center"/>
        <w:rPr>
          <w:b/>
          <w:highlight w:val="white"/>
        </w:rPr>
      </w:pPr>
      <w:r w:rsidRPr="008D5E09">
        <w:rPr>
          <w:b/>
          <w:highlight w:val="white"/>
        </w:rPr>
        <w:t>BÁO CÁO</w:t>
      </w:r>
    </w:p>
    <w:p w14:paraId="790493B6" w14:textId="57A76F5B" w:rsidR="00EB45D8" w:rsidRPr="00EB45D8" w:rsidRDefault="00EB45D8" w:rsidP="00EB45D8">
      <w:pPr>
        <w:tabs>
          <w:tab w:val="left" w:pos="6120"/>
          <w:tab w:val="left" w:pos="8228"/>
        </w:tabs>
        <w:spacing w:line="252" w:lineRule="auto"/>
        <w:jc w:val="center"/>
        <w:rPr>
          <w:b/>
        </w:rPr>
      </w:pPr>
      <w:r w:rsidRPr="00EB45D8">
        <w:rPr>
          <w:noProof/>
          <w:sz w:val="16"/>
          <w:szCs w:val="16"/>
        </w:rPr>
        <mc:AlternateContent>
          <mc:Choice Requires="wps">
            <w:drawing>
              <wp:anchor distT="0" distB="0" distL="114300" distR="114300" simplePos="0" relativeHeight="251663360" behindDoc="0" locked="0" layoutInCell="1" allowOverlap="1" wp14:anchorId="027F9418" wp14:editId="73611ECD">
                <wp:simplePos x="0" y="0"/>
                <wp:positionH relativeFrom="column">
                  <wp:posOffset>2327275</wp:posOffset>
                </wp:positionH>
                <wp:positionV relativeFrom="paragraph">
                  <wp:posOffset>504190</wp:posOffset>
                </wp:positionV>
                <wp:extent cx="1099185" cy="0"/>
                <wp:effectExtent l="0" t="0" r="0" b="0"/>
                <wp:wrapNone/>
                <wp:docPr id="1312177959" nam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991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7A4CF962" id=" 20" o:spid="_x0000_s1026" type="#_x0000_t32" style="position:absolute;margin-left:183.25pt;margin-top:39.7pt;width:86.5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qy9qwEAAEADAAAOAAAAZHJzL2Uyb0RvYy54bWysUs1u2zAMvg/YOwi6L7YDZGiMOD2k6y7d&#10;FqDbAzCybAuVRYFUYuftJ6lJup/bMB0IUiQ/kh+5uZ9HK06a2KBrZLUopdBOYWtc38gf3x8/3EnB&#10;AVwLFp1u5FmzvN++f7eZfK2XOKBtNYkI4riefCOHEHxdFKwGPQIv0GsXnR3SCCGa1BctwRTRR1ss&#10;y/JjMSG1nlBp5vj78OqU24zfdVqFb13HOgjbyNhbyJKyPCRZbDdQ9wR+MOrSBvxDFyMYF4veoB4g&#10;gDiS+QtqNIqQsQsLhWOBXWeUzjPEaaryj2meB/A6zxLJYX+jif8frPp62rk9pdbV7J79E6oXjqQU&#10;k+f65kwG+z2Jw/QF27hGOAbM884djSk5TiLmTOv5Rqueg1DxsyrX6+puJYW6+gqor4meOHzWOIqk&#10;NJIDgemHsEPn4vKQqlwGTk8cUltQXxNSVYePxtq8Q+vE1Mj1arnKCYzWtMmZwpj6w86SOEG6gvzS&#10;4iPYb2GER9dmsEFD++miBzD2VY/x1l2oSWykI+P6gO15TwkuWXFNGfhyUukOfrVz1Nvhb38CAAD/&#10;/wMAUEsDBBQABgAIAAAAIQBDFfQG3gAAAAkBAAAPAAAAZHJzL2Rvd25yZXYueG1sTI/BTsMwDIbv&#10;SHuHyJN2QSzdRgstTadpEgeObJO4Zo1pC41TNela9vQYcYCj7U+/vz/fTrYVF+x940jBahmBQCqd&#10;aahScDo+3z2C8EGT0a0jVPCFHrbF7CbXmXEjveLlECrBIeQzraAOocuk9GWNVvul65D49u56qwOP&#10;fSVNr0cOt61cR1EirW6IP9S6w32N5edhsArQD/Eq2qW2Or1cx9u39fVj7I5KLebT7glEwCn8wfCj&#10;z+pQsNPZDWS8aBVskiRmVMFDeg+CgXiTJiDOvwtZ5PJ/g+IbAAD//wMAUEsBAi0AFAAGAAgAAAAh&#10;ALaDOJL+AAAA4QEAABMAAAAAAAAAAAAAAAAAAAAAAFtDb250ZW50X1R5cGVzXS54bWxQSwECLQAU&#10;AAYACAAAACEAOP0h/9YAAACUAQAACwAAAAAAAAAAAAAAAAAvAQAAX3JlbHMvLnJlbHNQSwECLQAU&#10;AAYACAAAACEABWasvasBAABAAwAADgAAAAAAAAAAAAAAAAAuAgAAZHJzL2Uyb0RvYy54bWxQSwEC&#10;LQAUAAYACAAAACEAQxX0Bt4AAAAJAQAADwAAAAAAAAAAAAAAAAAFBAAAZHJzL2Rvd25yZXYueG1s&#10;UEsFBgAAAAAEAAQA8wAAABAFAAAAAA==&#10;">
                <o:lock v:ext="edit" shapetype="f"/>
              </v:shape>
            </w:pict>
          </mc:Fallback>
        </mc:AlternateContent>
      </w:r>
      <w:r w:rsidRPr="00EB45D8">
        <w:rPr>
          <w:b/>
        </w:rPr>
        <w:t xml:space="preserve">Tình hình kinh tế </w:t>
      </w:r>
      <w:r w:rsidRPr="00EB45D8">
        <w:t>-</w:t>
      </w:r>
      <w:r w:rsidRPr="00EB45D8">
        <w:rPr>
          <w:b/>
        </w:rPr>
        <w:t xml:space="preserve"> xã hội hội tháng </w:t>
      </w:r>
      <w:r w:rsidR="00B32EFF">
        <w:rPr>
          <w:b/>
        </w:rPr>
        <w:t>04</w:t>
      </w:r>
      <w:r w:rsidRPr="00EB45D8">
        <w:rPr>
          <w:b/>
        </w:rPr>
        <w:t xml:space="preserve"> năm 2025 và tình hình thực hiện</w:t>
      </w:r>
    </w:p>
    <w:p w14:paraId="6230FC3A" w14:textId="77777777" w:rsidR="00EB45D8" w:rsidRDefault="00EB45D8" w:rsidP="00EB45D8">
      <w:pPr>
        <w:tabs>
          <w:tab w:val="left" w:pos="1335"/>
        </w:tabs>
        <w:spacing w:after="120"/>
        <w:ind w:firstLine="567"/>
        <w:jc w:val="center"/>
        <w:rPr>
          <w:noProof/>
          <w:highlight w:val="white"/>
        </w:rPr>
      </w:pPr>
      <w:r w:rsidRPr="00EB45D8">
        <w:rPr>
          <w:b/>
        </w:rPr>
        <w:t>Nghị quyết số 01/NQ-CP ngày 08/01/2025 của Chính phủ</w:t>
      </w:r>
      <w:r w:rsidRPr="008D5E09">
        <w:rPr>
          <w:noProof/>
          <w:highlight w:val="white"/>
        </w:rPr>
        <w:t xml:space="preserve"> </w:t>
      </w:r>
    </w:p>
    <w:p w14:paraId="67B0BD72" w14:textId="0C4934F6" w:rsidR="00BA5065" w:rsidRPr="008D5E09" w:rsidRDefault="00BA5065" w:rsidP="00EB45D8">
      <w:pPr>
        <w:tabs>
          <w:tab w:val="left" w:pos="1335"/>
        </w:tabs>
        <w:spacing w:after="120"/>
        <w:ind w:firstLine="567"/>
        <w:jc w:val="center"/>
        <w:rPr>
          <w:b/>
          <w:sz w:val="18"/>
          <w:highlight w:val="white"/>
        </w:rPr>
      </w:pPr>
      <w:r w:rsidRPr="008D5E09">
        <w:rPr>
          <w:b/>
          <w:highlight w:val="white"/>
        </w:rPr>
        <w:t xml:space="preserve"> </w:t>
      </w:r>
    </w:p>
    <w:p w14:paraId="3CB4D6CB" w14:textId="5AD266D9" w:rsidR="0056224D" w:rsidRDefault="0056224D" w:rsidP="00183A72">
      <w:pPr>
        <w:widowControl w:val="0"/>
        <w:spacing w:before="120" w:after="120" w:line="360" w:lineRule="exact"/>
        <w:ind w:firstLine="567"/>
        <w:jc w:val="both"/>
        <w:rPr>
          <w:b/>
          <w:lang w:val="af-ZA"/>
        </w:rPr>
      </w:pPr>
      <w:r w:rsidRPr="008D5E09">
        <w:rPr>
          <w:b/>
          <w:lang w:val="af-ZA"/>
        </w:rPr>
        <w:t xml:space="preserve">I. </w:t>
      </w:r>
      <w:r w:rsidR="00274B37" w:rsidRPr="00274B37">
        <w:rPr>
          <w:b/>
          <w:lang w:val="af-ZA"/>
        </w:rPr>
        <w:t>TÌNH HÌNH THỰC HIỆN NGHỊ QUYẾT SỐ 01/NQ-CP CỦA CHÍNH PHỦ VÀ QUYẾT ĐỊNH SỐ 37/QĐ-UBND-HC NGÀY 14/01/2025 CỦA ỦY BAN NHÂN DÂN TỈNH</w:t>
      </w:r>
    </w:p>
    <w:p w14:paraId="75E5E1C0" w14:textId="654D4CDC" w:rsidR="00900675" w:rsidRDefault="00900675" w:rsidP="00183A72">
      <w:pPr>
        <w:widowControl w:val="0"/>
        <w:spacing w:before="120" w:after="120" w:line="360" w:lineRule="exact"/>
        <w:ind w:firstLine="567"/>
        <w:jc w:val="both"/>
        <w:rPr>
          <w:bCs/>
          <w:lang w:val="af-ZA"/>
        </w:rPr>
      </w:pPr>
      <w:r w:rsidRPr="00900675">
        <w:rPr>
          <w:bCs/>
          <w:lang w:val="af-ZA"/>
        </w:rPr>
        <w:t xml:space="preserve">Ngay từ cuối quý IV năm 2024, Ủy ban nhân dân Huyện đã chủ động xây dựng và ban hành Kế hoạch số 361/KH-UBND ngày 27 tháng 12 năm 2024 về phát triển kinh tế - xã hội, đảm bảo quốc phòng – an ninh năm 2025, với 16 chỉ tiêu, nhiệm vụ và đề ra 11 nhóm nhiệm vụ, giải pháp. Trên cơ sở thực hiện Chương trình hành động năm 2025 của Ban Chấp hành Đảng bộ Huyện khóa VII </w:t>
      </w:r>
      <w:r w:rsidRPr="00FE3B17">
        <w:rPr>
          <w:bCs/>
          <w:i/>
          <w:lang w:val="af-ZA"/>
        </w:rPr>
        <w:t xml:space="preserve">(Chương trình số 76-CTr/HU ngày 06/01/2024) </w:t>
      </w:r>
      <w:r w:rsidRPr="00900675">
        <w:rPr>
          <w:bCs/>
          <w:lang w:val="af-ZA"/>
        </w:rPr>
        <w:t>và Nghị quyết của Hội đồng nhân dân Huyện về nhiệm vụ, giải pháp chủ yếu thực hiện Kế hoạch phát triển kinh tế - xã hội năm 2025, UBND Huyện đã rà soát lại các nhiệm vụ, chỉ tiêu, các giải pháp và đã ban hành lại Kế hoạch số 18/KH-UBND ngày 17/01/2025 về phát triển kinh tế - xã hội, bảo đảm quốc phòng – an ninh năm 2025 đ</w:t>
      </w:r>
      <w:r w:rsidR="007A38C9">
        <w:rPr>
          <w:bCs/>
          <w:lang w:val="af-ZA"/>
        </w:rPr>
        <w:t>ể tổ chức triển khai thực hiện. C</w:t>
      </w:r>
      <w:r w:rsidR="007A38C9" w:rsidRPr="007A38C9">
        <w:rPr>
          <w:bCs/>
          <w:lang w:val="af-ZA"/>
        </w:rPr>
        <w:t>ăn cứ Quyết định số 37/QĐ-UBND-HC ngày 14/01/2025 của Uỷ ban nhân dân Tỉnh, Uỷ ban nhân dân Huyện đã ban hành Kế hoạch số 35/KH-UBND ngày 03/02/2025 về triển khai thực hiện Quyết định số 37/QĐ-UBND-HC ngày 14/01/2025 của Uỷ ban nhân dân Tỉnh về việc ban hành Chương trình hành động thực hiện nhiệm vụ phát triển kinh tế - xã hội và dự toán ngân sách nhà nước năm 2025</w:t>
      </w:r>
      <w:r w:rsidRPr="00900675">
        <w:rPr>
          <w:bCs/>
          <w:lang w:val="af-ZA"/>
        </w:rPr>
        <w:t>. Đồng thời, tổ chức Hội nghị triển khai nhiệm vụ phát triển kinh tế - xã hội năm 2025 đến toàn thể các phòng, ban, ngành Huyện và Ủy ban nhân dân các xã, thị trấn nắm chủ động xây dựng Kế hoạch chi tiết triển khai thực hiện.</w:t>
      </w:r>
    </w:p>
    <w:p w14:paraId="618A6F08" w14:textId="638126B6" w:rsidR="007A38C9" w:rsidRPr="00900675" w:rsidRDefault="007A38C9" w:rsidP="00183A72">
      <w:pPr>
        <w:widowControl w:val="0"/>
        <w:spacing w:before="120" w:after="120" w:line="360" w:lineRule="exact"/>
        <w:ind w:firstLine="567"/>
        <w:jc w:val="both"/>
        <w:rPr>
          <w:bCs/>
          <w:lang w:val="af-ZA"/>
        </w:rPr>
      </w:pPr>
      <w:r w:rsidRPr="007A38C9">
        <w:rPr>
          <w:rFonts w:eastAsia="Calibri"/>
          <w:noProof/>
          <w:kern w:val="28"/>
          <w:lang w:val="en-GB"/>
        </w:rPr>
        <w:t>Ngoài ra, t</w:t>
      </w:r>
      <w:r w:rsidRPr="007A38C9">
        <w:rPr>
          <w:rFonts w:eastAsia="Calibri"/>
          <w:noProof/>
          <w:kern w:val="28"/>
          <w:lang w:val="vi-VN"/>
        </w:rPr>
        <w:t>hực hiện Công văn số 11/UBND-TH ngày 31</w:t>
      </w:r>
      <w:r w:rsidRPr="007A38C9">
        <w:rPr>
          <w:rFonts w:eastAsia="Calibri"/>
          <w:noProof/>
          <w:kern w:val="28"/>
          <w:lang w:val="en-GB"/>
        </w:rPr>
        <w:t>/</w:t>
      </w:r>
      <w:r w:rsidRPr="007A38C9">
        <w:rPr>
          <w:rFonts w:eastAsia="Calibri"/>
          <w:noProof/>
          <w:kern w:val="28"/>
          <w:lang w:val="vi-VN"/>
        </w:rPr>
        <w:t>01</w:t>
      </w:r>
      <w:r w:rsidRPr="007A38C9">
        <w:rPr>
          <w:rFonts w:eastAsia="Calibri"/>
          <w:noProof/>
          <w:kern w:val="28"/>
          <w:lang w:val="en-GB"/>
        </w:rPr>
        <w:t>/</w:t>
      </w:r>
      <w:r w:rsidRPr="007A38C9">
        <w:rPr>
          <w:rFonts w:eastAsia="Calibri"/>
          <w:noProof/>
          <w:kern w:val="28"/>
          <w:lang w:val="vi-VN"/>
        </w:rPr>
        <w:t>2025 của Uỷ ban nhân dân Tỉnh về việc triển khai thực hiện Bản cam kết hành động năm 2025</w:t>
      </w:r>
      <w:r w:rsidRPr="007A38C9">
        <w:rPr>
          <w:rFonts w:eastAsia="Calibri"/>
          <w:noProof/>
          <w:kern w:val="28"/>
          <w:lang w:val="en-GB"/>
        </w:rPr>
        <w:t>, n</w:t>
      </w:r>
      <w:r w:rsidRPr="007A38C9">
        <w:rPr>
          <w:rFonts w:eastAsia="Calibri"/>
          <w:noProof/>
          <w:kern w:val="28"/>
          <w:lang w:val="vi-VN"/>
        </w:rPr>
        <w:t xml:space="preserve">gày 13/02/2025, </w:t>
      </w:r>
      <w:r w:rsidRPr="007A38C9">
        <w:rPr>
          <w:rFonts w:eastAsia="Calibri"/>
          <w:noProof/>
          <w:kern w:val="28"/>
          <w:lang w:val="en-GB"/>
        </w:rPr>
        <w:t>Uỷ</w:t>
      </w:r>
      <w:r w:rsidRPr="007A38C9">
        <w:rPr>
          <w:rFonts w:eastAsia="Calibri"/>
          <w:noProof/>
          <w:kern w:val="28"/>
          <w:lang w:val="vi-VN"/>
        </w:rPr>
        <w:t xml:space="preserve"> ban nhân dân Huyện ban hành Công văn số 250/UBND-HC</w:t>
      </w:r>
      <w:r w:rsidRPr="007A38C9">
        <w:rPr>
          <w:rFonts w:eastAsia="Calibri"/>
          <w:noProof/>
          <w:kern w:val="28"/>
          <w:lang w:val="en-GB"/>
        </w:rPr>
        <w:t xml:space="preserve"> ngày 13/02/2025</w:t>
      </w:r>
      <w:r w:rsidRPr="007A38C9">
        <w:rPr>
          <w:rFonts w:eastAsia="Calibri"/>
          <w:noProof/>
          <w:kern w:val="28"/>
          <w:lang w:val="vi-VN"/>
        </w:rPr>
        <w:t xml:space="preserve"> về triển khai thực hiện Bản cam kết hành động năm 2025.</w:t>
      </w:r>
    </w:p>
    <w:p w14:paraId="02609E8D" w14:textId="67B96123" w:rsidR="00BA5065" w:rsidRPr="008D5E09" w:rsidRDefault="0056224D" w:rsidP="00183A72">
      <w:pPr>
        <w:widowControl w:val="0"/>
        <w:tabs>
          <w:tab w:val="left" w:pos="6120"/>
          <w:tab w:val="left" w:pos="8228"/>
        </w:tabs>
        <w:spacing w:before="120" w:after="120" w:line="360" w:lineRule="exact"/>
        <w:ind w:firstLine="567"/>
        <w:jc w:val="both"/>
        <w:rPr>
          <w:b/>
          <w:caps/>
          <w:lang w:val="af-ZA"/>
        </w:rPr>
      </w:pPr>
      <w:r w:rsidRPr="008D5E09">
        <w:rPr>
          <w:b/>
          <w:lang w:val="af-ZA"/>
        </w:rPr>
        <w:t>II.</w:t>
      </w:r>
      <w:r w:rsidRPr="008D5E09">
        <w:rPr>
          <w:rFonts w:eastAsia="Arial"/>
          <w:b/>
          <w:caps/>
          <w:lang w:val="vi-VN"/>
        </w:rPr>
        <w:t xml:space="preserve"> </w:t>
      </w:r>
      <w:r w:rsidRPr="008D5E09">
        <w:rPr>
          <w:rFonts w:eastAsia="Arial"/>
          <w:b/>
          <w:caps/>
          <w:lang w:val="nl-NL"/>
        </w:rPr>
        <w:t xml:space="preserve">ĐÁNH GIÁ </w:t>
      </w:r>
      <w:r w:rsidRPr="008D5E09">
        <w:rPr>
          <w:b/>
          <w:caps/>
          <w:lang w:val="af-ZA"/>
        </w:rPr>
        <w:t xml:space="preserve">tình hình kinh tẾ </w:t>
      </w:r>
      <w:r w:rsidRPr="008D5E09">
        <w:rPr>
          <w:caps/>
          <w:lang w:val="af-ZA"/>
        </w:rPr>
        <w:t>-</w:t>
      </w:r>
      <w:r w:rsidRPr="008D5E09">
        <w:rPr>
          <w:b/>
          <w:caps/>
          <w:lang w:val="af-ZA"/>
        </w:rPr>
        <w:t xml:space="preserve"> xã hỘi THÁNG </w:t>
      </w:r>
      <w:r w:rsidR="00B32EFF">
        <w:rPr>
          <w:b/>
          <w:caps/>
          <w:lang w:val="af-ZA"/>
        </w:rPr>
        <w:t>4</w:t>
      </w:r>
    </w:p>
    <w:p w14:paraId="5A58D01D" w14:textId="20C49C04" w:rsidR="0056224D" w:rsidRDefault="0056224D" w:rsidP="00183A72">
      <w:pPr>
        <w:pStyle w:val="ListParagraph"/>
        <w:widowControl w:val="0"/>
        <w:numPr>
          <w:ilvl w:val="0"/>
          <w:numId w:val="2"/>
        </w:numPr>
        <w:spacing w:before="120" w:after="120" w:line="360" w:lineRule="exact"/>
        <w:jc w:val="both"/>
        <w:rPr>
          <w:rFonts w:eastAsia="Arial"/>
          <w:b/>
        </w:rPr>
      </w:pPr>
      <w:r w:rsidRPr="008D5E09">
        <w:rPr>
          <w:rFonts w:eastAsia="Arial"/>
          <w:b/>
        </w:rPr>
        <w:t>Về công tác chỉ đạo, điều hành</w:t>
      </w:r>
    </w:p>
    <w:p w14:paraId="1FBB92F7" w14:textId="7425D43B" w:rsidR="00900675" w:rsidRPr="00900675" w:rsidRDefault="00900675" w:rsidP="00900675">
      <w:pPr>
        <w:widowControl w:val="0"/>
        <w:spacing w:before="120" w:after="120" w:line="360" w:lineRule="exact"/>
        <w:ind w:firstLine="567"/>
        <w:jc w:val="both"/>
        <w:rPr>
          <w:rFonts w:eastAsia="Arial"/>
          <w:bCs/>
        </w:rPr>
      </w:pPr>
      <w:r w:rsidRPr="00900675">
        <w:rPr>
          <w:rFonts w:eastAsia="Arial"/>
          <w:bCs/>
        </w:rPr>
        <w:t xml:space="preserve">Để thực hiện thắng lợi mục tiêu, nhiệm vụ kế hoạch phát triển kinh tế - xã hội năm 2025 theo Chương trình hành động của Ban Chấp hành Đảng bộ </w:t>
      </w:r>
      <w:r>
        <w:rPr>
          <w:rFonts w:eastAsia="Arial"/>
          <w:bCs/>
        </w:rPr>
        <w:t>Huyện</w:t>
      </w:r>
      <w:r w:rsidRPr="00900675">
        <w:rPr>
          <w:rFonts w:eastAsia="Arial"/>
          <w:bCs/>
        </w:rPr>
        <w:t xml:space="preserve"> và Nghị quyết của Hội đồng nhân dân </w:t>
      </w:r>
      <w:r>
        <w:rPr>
          <w:rFonts w:eastAsia="Arial"/>
          <w:bCs/>
        </w:rPr>
        <w:t>Huyện</w:t>
      </w:r>
      <w:r w:rsidRPr="00900675">
        <w:rPr>
          <w:rFonts w:eastAsia="Arial"/>
          <w:bCs/>
        </w:rPr>
        <w:t xml:space="preserve"> đã đề ra, UBND </w:t>
      </w:r>
      <w:r>
        <w:rPr>
          <w:rFonts w:eastAsia="Arial"/>
          <w:bCs/>
        </w:rPr>
        <w:t>Huyện</w:t>
      </w:r>
      <w:r w:rsidRPr="00900675">
        <w:rPr>
          <w:rFonts w:eastAsia="Arial"/>
          <w:bCs/>
        </w:rPr>
        <w:t xml:space="preserve"> yêu cầu các </w:t>
      </w:r>
      <w:r w:rsidRPr="00900675">
        <w:rPr>
          <w:rFonts w:eastAsia="Arial"/>
          <w:bCs/>
        </w:rPr>
        <w:lastRenderedPageBreak/>
        <w:t xml:space="preserve">cấp, các ngành, các địa phương trong chỉ đạo điều hành tập trung cao độ để khắc phục mọi khó khăn, vượt qua thách thức, giữ vững tinh thần đoàn kết, tự lực, tự cường, phát huy mạnh mẽ quyết tâm đổi mới, đột phá, sáng tạo, sự chủ động, dám nghĩ, dám làm theo chủ đề điều hành của Chính phủ năm 2025: </w:t>
      </w:r>
      <w:r w:rsidRPr="00900675">
        <w:rPr>
          <w:rFonts w:eastAsia="Arial"/>
          <w:b/>
          <w:i/>
          <w:iCs/>
        </w:rPr>
        <w:t>“Kỷ cương trách nhiệm; chủ động kịp thời; tinh gọn hiệu quả; tăng tốc bứt phá”</w:t>
      </w:r>
      <w:r w:rsidRPr="00900675">
        <w:rPr>
          <w:rFonts w:eastAsia="Arial"/>
          <w:bCs/>
        </w:rPr>
        <w:t xml:space="preserve"> và khẩu hiệu của Tỉnh năm 2025: </w:t>
      </w:r>
      <w:r w:rsidRPr="00900675">
        <w:rPr>
          <w:rFonts w:eastAsia="Arial"/>
          <w:b/>
          <w:i/>
          <w:iCs/>
        </w:rPr>
        <w:t>“Kỷ nguyên mới, Sen Hồng tỏa sắc; kinh tế xanh, Đồng Tháp vươn mình”</w:t>
      </w:r>
      <w:r w:rsidRPr="00900675">
        <w:rPr>
          <w:rFonts w:eastAsia="Arial"/>
          <w:bCs/>
        </w:rPr>
        <w:t>, với 16 chỉ tiêu, nhiệm vụ và đề ra 11 nhóm nhiệm vụ, giải pháp trong năm 2025</w:t>
      </w:r>
      <w:r>
        <w:rPr>
          <w:rFonts w:eastAsia="Arial"/>
          <w:bCs/>
        </w:rPr>
        <w:t xml:space="preserve"> để chỉ đạo triển khai thực hiện</w:t>
      </w:r>
      <w:r w:rsidRPr="00900675">
        <w:rPr>
          <w:rFonts w:eastAsia="Arial"/>
          <w:bCs/>
        </w:rPr>
        <w:t>.</w:t>
      </w:r>
    </w:p>
    <w:p w14:paraId="60387F50" w14:textId="5BD0E785" w:rsidR="007A38C9" w:rsidRPr="007A38C9" w:rsidRDefault="007A38C9" w:rsidP="007A38C9">
      <w:pPr>
        <w:widowControl w:val="0"/>
        <w:spacing w:before="120" w:after="120"/>
        <w:ind w:firstLine="709"/>
        <w:jc w:val="both"/>
        <w:rPr>
          <w:lang w:val="es-MX"/>
        </w:rPr>
      </w:pPr>
      <w:bookmarkStart w:id="0" w:name="_Hlk174650056"/>
      <w:r w:rsidRPr="007A38C9">
        <w:rPr>
          <w:i/>
          <w:iCs/>
          <w:lang w:val="es-MX"/>
        </w:rPr>
        <w:t>Nhìn chung</w:t>
      </w:r>
      <w:r w:rsidRPr="007A38C9">
        <w:rPr>
          <w:lang w:val="es-MX"/>
        </w:rPr>
        <w:t>, công tác triển khai kế hoạch phát triển kinh tế - xã hội năm 2025 được chủ động thực hiện ngay từ đầu năm; nhờ sự chủ động, sáng tạo, tập trung lãnh đạo, chỉ đạo sâu sát, quyết liệt của Huyện ủy, Ủy ban nhân dân Huyện, cùng sự đoàn kết, trách nhiệm, nỗ lực phấn đấu của cả hệ thống chính trị và người dân, cộng đồng doanh nghiệp đã tạo tác động tích cực đến sự phát triển của các ngành, lĩnh vực.</w:t>
      </w:r>
    </w:p>
    <w:p w14:paraId="1ED7FA7E" w14:textId="77777777" w:rsidR="0056224D" w:rsidRPr="008D5E09" w:rsidRDefault="0056224D" w:rsidP="00183A72">
      <w:pPr>
        <w:widowControl w:val="0"/>
        <w:spacing w:before="120" w:after="120" w:line="360" w:lineRule="exact"/>
        <w:ind w:firstLine="567"/>
        <w:jc w:val="both"/>
        <w:rPr>
          <w:b/>
          <w:caps/>
          <w:lang w:val="af-ZA"/>
        </w:rPr>
      </w:pPr>
      <w:r w:rsidRPr="008D5E09">
        <w:rPr>
          <w:b/>
          <w:lang w:val="af-ZA"/>
        </w:rPr>
        <w:t>2. Tình hình</w:t>
      </w:r>
      <w:r w:rsidRPr="008D5E09">
        <w:rPr>
          <w:b/>
          <w:lang w:val="es-MX"/>
        </w:rPr>
        <w:t xml:space="preserve"> sản xuất kinh doanh và phát triển </w:t>
      </w:r>
      <w:r w:rsidRPr="008D5E09">
        <w:rPr>
          <w:b/>
          <w:lang w:val="af-ZA"/>
        </w:rPr>
        <w:t xml:space="preserve">kinh tế </w:t>
      </w:r>
      <w:r w:rsidRPr="008D5E09">
        <w:rPr>
          <w:lang w:val="af-ZA"/>
        </w:rPr>
        <w:t>-</w:t>
      </w:r>
      <w:r w:rsidRPr="008D5E09">
        <w:rPr>
          <w:b/>
          <w:lang w:val="af-ZA"/>
        </w:rPr>
        <w:t xml:space="preserve"> xã hội</w:t>
      </w:r>
    </w:p>
    <w:bookmarkEnd w:id="0"/>
    <w:p w14:paraId="5EB171D0" w14:textId="77777777" w:rsidR="0056224D" w:rsidRPr="008D5E09" w:rsidRDefault="0056224D" w:rsidP="00183A72">
      <w:pPr>
        <w:widowControl w:val="0"/>
        <w:spacing w:before="120" w:after="120" w:line="360" w:lineRule="exact"/>
        <w:ind w:firstLine="567"/>
        <w:jc w:val="both"/>
        <w:rPr>
          <w:b/>
          <w:iCs/>
          <w:lang w:val="af-ZA"/>
        </w:rPr>
      </w:pPr>
      <w:r w:rsidRPr="008D5E09">
        <w:rPr>
          <w:b/>
          <w:iCs/>
          <w:lang w:val="af-ZA"/>
        </w:rPr>
        <w:t xml:space="preserve">2.1. Về tình hình kinh tế </w:t>
      </w:r>
    </w:p>
    <w:p w14:paraId="48CED748" w14:textId="63F8963A" w:rsidR="0056224D" w:rsidRPr="008D5E09" w:rsidRDefault="00086F72" w:rsidP="00183A72">
      <w:pPr>
        <w:widowControl w:val="0"/>
        <w:spacing w:before="120" w:after="120" w:line="360" w:lineRule="exact"/>
        <w:ind w:firstLine="567"/>
        <w:jc w:val="both"/>
        <w:rPr>
          <w:i/>
          <w:lang w:val="af-ZA"/>
        </w:rPr>
      </w:pPr>
      <w:r w:rsidRPr="008D5E09">
        <w:rPr>
          <w:i/>
          <w:lang w:val="af-ZA"/>
        </w:rPr>
        <w:t>a</w:t>
      </w:r>
      <w:r w:rsidR="0056224D" w:rsidRPr="008D5E09">
        <w:rPr>
          <w:i/>
          <w:lang w:val="af-ZA"/>
        </w:rPr>
        <w:t>) Về thu, chi ngân sách nhà nước</w:t>
      </w:r>
    </w:p>
    <w:p w14:paraId="4225D387" w14:textId="1DD432A4" w:rsidR="0056224D" w:rsidRPr="008D5E09" w:rsidRDefault="00EB12CD" w:rsidP="00183A72">
      <w:pPr>
        <w:widowControl w:val="0"/>
        <w:spacing w:before="120" w:after="120" w:line="360" w:lineRule="exact"/>
        <w:ind w:firstLine="567"/>
        <w:jc w:val="both"/>
        <w:rPr>
          <w:lang w:val="vi-VN"/>
        </w:rPr>
      </w:pPr>
      <w:bookmarkStart w:id="1" w:name="_Hlk190632359"/>
      <w:r w:rsidRPr="00EB12CD">
        <w:rPr>
          <w:lang w:val="vi-VN"/>
        </w:rPr>
        <w:t xml:space="preserve">Quản lý, điều hành ngân sách nhà nước bảo đảm theo quy định. Đến nay tổng thu ngân sách năm 2025 được </w:t>
      </w:r>
      <w:r w:rsidR="005C19E2">
        <w:t>366.322</w:t>
      </w:r>
      <w:r w:rsidRPr="00EB12CD">
        <w:rPr>
          <w:lang w:val="vi-VN"/>
        </w:rPr>
        <w:t xml:space="preserve"> triệu đồng/719.615 triệu đồng, đạt </w:t>
      </w:r>
      <w:r w:rsidR="005C19E2">
        <w:t>51</w:t>
      </w:r>
      <w:r w:rsidRPr="00EB12CD">
        <w:rPr>
          <w:lang w:val="vi-VN"/>
        </w:rPr>
        <w:t xml:space="preserve">% kế hoạch; trong đó, thu ngân sách nhà nước trên địa bàn Huyện đạt </w:t>
      </w:r>
      <w:r w:rsidR="005C19E2">
        <w:t>48.090</w:t>
      </w:r>
      <w:r w:rsidRPr="00EB12CD">
        <w:rPr>
          <w:lang w:val="vi-VN"/>
        </w:rPr>
        <w:t xml:space="preserve"> triệu đồng/104.800 triệu đồng, đạt </w:t>
      </w:r>
      <w:r w:rsidR="005C19E2">
        <w:t>46</w:t>
      </w:r>
      <w:r w:rsidRPr="00EB12CD">
        <w:rPr>
          <w:lang w:val="vi-VN"/>
        </w:rPr>
        <w:t>% dự toán năm</w:t>
      </w:r>
      <w:r>
        <w:t xml:space="preserve"> </w:t>
      </w:r>
      <w:r w:rsidRPr="008D5E09">
        <w:rPr>
          <w:i/>
          <w:lang w:val="vi-VN"/>
        </w:rPr>
        <w:t>(</w:t>
      </w:r>
      <w:r w:rsidRPr="008D5E09">
        <w:rPr>
          <w:i/>
        </w:rPr>
        <w:t xml:space="preserve">tăng </w:t>
      </w:r>
      <w:r w:rsidR="005C19E2">
        <w:rPr>
          <w:i/>
        </w:rPr>
        <w:t>13</w:t>
      </w:r>
      <w:r>
        <w:rPr>
          <w:i/>
        </w:rPr>
        <w:t>% so với tháng trước)</w:t>
      </w:r>
      <w:r w:rsidRPr="00EB12CD">
        <w:rPr>
          <w:lang w:val="vi-VN"/>
        </w:rPr>
        <w:t xml:space="preserve">. Tổng chi ngân sách </w:t>
      </w:r>
      <w:r w:rsidR="005C19E2">
        <w:t>197.681</w:t>
      </w:r>
      <w:r w:rsidR="005C19E2">
        <w:rPr>
          <w:lang w:val="vi-VN"/>
        </w:rPr>
        <w:t xml:space="preserve"> triệu đồng, chiếm 28</w:t>
      </w:r>
      <w:r w:rsidRPr="00EB12CD">
        <w:rPr>
          <w:lang w:val="vi-VN"/>
        </w:rPr>
        <w:t>% dự toán.</w:t>
      </w:r>
    </w:p>
    <w:bookmarkEnd w:id="1"/>
    <w:p w14:paraId="5454C5E4" w14:textId="3365C2EB" w:rsidR="0056224D" w:rsidRPr="008D5E09" w:rsidRDefault="00086F72" w:rsidP="00183A72">
      <w:pPr>
        <w:widowControl w:val="0"/>
        <w:spacing w:before="120" w:after="120" w:line="360" w:lineRule="exact"/>
        <w:ind w:firstLine="567"/>
        <w:jc w:val="both"/>
        <w:rPr>
          <w:i/>
          <w:lang w:val="vi-VN"/>
        </w:rPr>
      </w:pPr>
      <w:r w:rsidRPr="008D5E09">
        <w:rPr>
          <w:i/>
        </w:rPr>
        <w:t>b</w:t>
      </w:r>
      <w:r w:rsidR="0056224D" w:rsidRPr="008D5E09">
        <w:rPr>
          <w:i/>
          <w:lang w:val="vi-VN"/>
        </w:rPr>
        <w:t>) Về đầu tư phát triển</w:t>
      </w:r>
    </w:p>
    <w:p w14:paraId="76994C98" w14:textId="755F0860" w:rsidR="00EB12CD" w:rsidRPr="0020660C" w:rsidRDefault="00EB12CD" w:rsidP="00183A72">
      <w:pPr>
        <w:widowControl w:val="0"/>
        <w:spacing w:before="120" w:after="120" w:line="360" w:lineRule="exact"/>
        <w:ind w:firstLine="567"/>
        <w:jc w:val="both"/>
        <w:rPr>
          <w:rFonts w:eastAsia="Calibri"/>
          <w:spacing w:val="-4"/>
          <w:lang w:val="pt-BR"/>
        </w:rPr>
      </w:pPr>
      <w:r w:rsidRPr="0020660C">
        <w:rPr>
          <w:rFonts w:eastAsia="Calibri"/>
          <w:spacing w:val="-4"/>
          <w:lang w:val="pt-BR"/>
        </w:rPr>
        <w:t xml:space="preserve">Tổng vốn đầu tư được phân bổ năm 2025 đến nay là 94.427 triệu đồng, đầu tư cho 29 danh mục công trình. </w:t>
      </w:r>
      <w:r w:rsidRPr="0020660C">
        <w:t>Trong đó, công trình chuyển tiếp 03 công trình, đầu tư mới 23 công trình, 01 danh mục ủy thác qua Ngân hàng CSXH, 01 trả nợ Chương trình 105 và 01 hoàn trả ứng vốn từ Quỹ Phát triển đất Tỉnh</w:t>
      </w:r>
      <w:r w:rsidRPr="0020660C">
        <w:rPr>
          <w:rFonts w:eastAsia="Calibri"/>
          <w:spacing w:val="-4"/>
          <w:lang w:val="pt-BR"/>
        </w:rPr>
        <w:t>. Kết quả giải ngân đế</w:t>
      </w:r>
      <w:r w:rsidR="0020660C" w:rsidRPr="0020660C">
        <w:rPr>
          <w:rFonts w:eastAsia="Calibri"/>
          <w:spacing w:val="-4"/>
          <w:lang w:val="pt-BR"/>
        </w:rPr>
        <w:t>n ngày 15</w:t>
      </w:r>
      <w:r w:rsidRPr="0020660C">
        <w:rPr>
          <w:rFonts w:eastAsia="Calibri"/>
          <w:spacing w:val="-4"/>
          <w:lang w:val="pt-BR"/>
        </w:rPr>
        <w:t>/</w:t>
      </w:r>
      <w:r w:rsidR="0020660C" w:rsidRPr="0020660C">
        <w:rPr>
          <w:rFonts w:eastAsia="Calibri"/>
          <w:spacing w:val="-4"/>
          <w:lang w:val="pt-BR"/>
        </w:rPr>
        <w:t>4</w:t>
      </w:r>
      <w:r w:rsidRPr="0020660C">
        <w:rPr>
          <w:rFonts w:eastAsia="Calibri"/>
          <w:spacing w:val="-4"/>
          <w:lang w:val="pt-BR"/>
        </w:rPr>
        <w:t xml:space="preserve">/2025 được </w:t>
      </w:r>
      <w:r w:rsidR="000566E2" w:rsidRPr="00556098">
        <w:t xml:space="preserve">6.570,546 triệu đồng/94.427 triệu  đồng, </w:t>
      </w:r>
      <w:r w:rsidR="000566E2" w:rsidRPr="000566E2">
        <w:t>đạt 6,96%</w:t>
      </w:r>
      <w:r w:rsidR="000566E2" w:rsidRPr="00556098">
        <w:t xml:space="preserve"> </w:t>
      </w:r>
      <w:r w:rsidR="000566E2" w:rsidRPr="00556098">
        <w:rPr>
          <w:i/>
        </w:rPr>
        <w:t>(giảm 22,18%</w:t>
      </w:r>
      <w:r w:rsidR="000566E2" w:rsidRPr="00556098">
        <w:t xml:space="preserve"> </w:t>
      </w:r>
      <w:r w:rsidR="000566E2" w:rsidRPr="00556098">
        <w:rPr>
          <w:i/>
        </w:rPr>
        <w:t xml:space="preserve">so cùng kỳ năm 2024, tăng 1,06 so với </w:t>
      </w:r>
      <w:r w:rsidR="000566E2">
        <w:rPr>
          <w:i/>
        </w:rPr>
        <w:t>tháng trước</w:t>
      </w:r>
      <w:r w:rsidR="000566E2" w:rsidRPr="00556098">
        <w:rPr>
          <w:i/>
        </w:rPr>
        <w:t>),</w:t>
      </w:r>
      <w:r w:rsidR="000566E2" w:rsidRPr="00556098">
        <w:t xml:space="preserve"> đạt </w:t>
      </w:r>
      <w:r w:rsidR="000566E2" w:rsidRPr="000566E2">
        <w:t>6,96%</w:t>
      </w:r>
      <w:r w:rsidR="000566E2" w:rsidRPr="00556098">
        <w:t xml:space="preserve"> theo chỉ tiêu của Tỉnh giao</w:t>
      </w:r>
      <w:r w:rsidRPr="0020660C">
        <w:rPr>
          <w:rFonts w:eastAsia="Calibri"/>
          <w:spacing w:val="-4"/>
          <w:lang w:val="pt-BR"/>
        </w:rPr>
        <w:t>.</w:t>
      </w:r>
    </w:p>
    <w:p w14:paraId="2FCA2B10" w14:textId="3F428947" w:rsidR="0056224D" w:rsidRPr="008D5E09" w:rsidRDefault="0056224D" w:rsidP="00183A72">
      <w:pPr>
        <w:widowControl w:val="0"/>
        <w:spacing w:before="120" w:after="120" w:line="360" w:lineRule="exact"/>
        <w:ind w:firstLine="567"/>
        <w:jc w:val="both"/>
        <w:rPr>
          <w:rFonts w:eastAsia="Arial"/>
          <w:b/>
          <w:i/>
        </w:rPr>
      </w:pPr>
      <w:r w:rsidRPr="008D5E09">
        <w:rPr>
          <w:rFonts w:eastAsia="Arial"/>
          <w:b/>
          <w:i/>
        </w:rPr>
        <w:t>2.2. Về tình hình sản xuất, kinh doanh</w:t>
      </w:r>
      <w:bookmarkStart w:id="2" w:name="_GoBack"/>
      <w:bookmarkEnd w:id="2"/>
    </w:p>
    <w:p w14:paraId="7901D652" w14:textId="77777777" w:rsidR="005C7695" w:rsidRPr="008D5E09" w:rsidRDefault="005C7695" w:rsidP="00183A72">
      <w:pPr>
        <w:widowControl w:val="0"/>
        <w:spacing w:before="120" w:after="120" w:line="360" w:lineRule="exact"/>
        <w:ind w:firstLine="567"/>
        <w:jc w:val="both"/>
        <w:rPr>
          <w:rFonts w:ascii="Times New Roman Italic" w:eastAsia="Calibri" w:hAnsi="Times New Roman Italic"/>
          <w:bCs/>
          <w:i/>
          <w:spacing w:val="-2"/>
          <w:lang w:val="af-ZA"/>
        </w:rPr>
      </w:pPr>
      <w:r w:rsidRPr="008D5E09">
        <w:rPr>
          <w:rFonts w:ascii="Times New Roman Italic" w:hAnsi="Times New Roman Italic"/>
          <w:i/>
          <w:spacing w:val="-2"/>
          <w:lang w:val="pt-BR"/>
        </w:rPr>
        <w:t xml:space="preserve">a) </w:t>
      </w:r>
      <w:r w:rsidRPr="008D5E09">
        <w:rPr>
          <w:rFonts w:ascii="Times New Roman Italic" w:eastAsia="Calibri" w:hAnsi="Times New Roman Italic"/>
          <w:bCs/>
          <w:i/>
          <w:spacing w:val="-2"/>
          <w:lang w:val="af-ZA"/>
        </w:rPr>
        <w:t>Thực hiện tái cơ cấu ngành nông nghiệp gắn với xây dựng nông thôn mới</w:t>
      </w:r>
    </w:p>
    <w:p w14:paraId="7211ADE9" w14:textId="39447AFE" w:rsidR="004316E1" w:rsidRPr="004316E1" w:rsidRDefault="003B38D2" w:rsidP="004316E1">
      <w:pPr>
        <w:widowControl w:val="0"/>
        <w:tabs>
          <w:tab w:val="left" w:pos="6120"/>
          <w:tab w:val="left" w:pos="8228"/>
        </w:tabs>
        <w:spacing w:before="120" w:after="120" w:line="360" w:lineRule="exact"/>
        <w:ind w:firstLine="567"/>
        <w:jc w:val="both"/>
        <w:rPr>
          <w:rFonts w:eastAsia="Arial"/>
          <w:iCs/>
          <w:lang w:val="nl-NL"/>
        </w:rPr>
      </w:pPr>
      <w:r>
        <w:rPr>
          <w:rFonts w:eastAsia="Arial"/>
          <w:i/>
          <w:lang w:val="nl-NL"/>
        </w:rPr>
        <w:t>-</w:t>
      </w:r>
      <w:r w:rsidR="008A0402" w:rsidRPr="008D5E09">
        <w:rPr>
          <w:rFonts w:eastAsia="Arial"/>
          <w:i/>
          <w:lang w:val="nl-NL"/>
        </w:rPr>
        <w:t xml:space="preserve"> Trồng trọt</w:t>
      </w:r>
      <w:r>
        <w:rPr>
          <w:rFonts w:eastAsia="Arial"/>
          <w:iCs/>
          <w:lang w:val="nl-NL"/>
        </w:rPr>
        <w:t xml:space="preserve">: </w:t>
      </w:r>
      <w:r w:rsidR="004316E1" w:rsidRPr="004316E1">
        <w:rPr>
          <w:rFonts w:eastAsia="Calibri"/>
          <w:color w:val="000000"/>
        </w:rPr>
        <w:t xml:space="preserve">Vụ Đông Xuân năm 2024-2025: thu hoạch trong tháng đạt </w:t>
      </w:r>
      <w:r w:rsidR="007A6EB7" w:rsidRPr="007A6EB7">
        <w:rPr>
          <w:rFonts w:eastAsia="Calibri"/>
          <w:color w:val="000000"/>
        </w:rPr>
        <w:t>8.234</w:t>
      </w:r>
      <w:r w:rsidR="009F624E">
        <w:rPr>
          <w:rFonts w:eastAsia="Calibri"/>
          <w:color w:val="000000"/>
        </w:rPr>
        <w:t xml:space="preserve"> </w:t>
      </w:r>
      <w:r w:rsidR="004316E1" w:rsidRPr="004316E1">
        <w:rPr>
          <w:rFonts w:eastAsia="Calibri"/>
          <w:color w:val="000000"/>
        </w:rPr>
        <w:t xml:space="preserve">ha, năng suất </w:t>
      </w:r>
      <w:r w:rsidR="007A6EB7">
        <w:rPr>
          <w:rFonts w:eastAsia="Calibri"/>
          <w:color w:val="000000"/>
        </w:rPr>
        <w:t>71,69</w:t>
      </w:r>
      <w:r w:rsidR="004316E1" w:rsidRPr="004316E1">
        <w:rPr>
          <w:rFonts w:eastAsia="Calibri"/>
          <w:color w:val="000000"/>
        </w:rPr>
        <w:t xml:space="preserve"> tạ/ha</w:t>
      </w:r>
      <w:r w:rsidR="004316E1" w:rsidRPr="009F624E">
        <w:rPr>
          <w:rFonts w:eastAsia="Calibri"/>
        </w:rPr>
        <w:t xml:space="preserve"> </w:t>
      </w:r>
      <w:r w:rsidR="004316E1" w:rsidRPr="009F624E">
        <w:rPr>
          <w:rFonts w:eastAsia="Calibri"/>
          <w:i/>
        </w:rPr>
        <w:t>(thấp hơn cùng kỳ 0,13 tạ/ha</w:t>
      </w:r>
      <w:r w:rsidR="007A6EB7" w:rsidRPr="009F624E">
        <w:rPr>
          <w:rFonts w:eastAsia="Calibri"/>
        </w:rPr>
        <w:t>),</w:t>
      </w:r>
      <w:r w:rsidR="007A6EB7" w:rsidRPr="009F624E">
        <w:t xml:space="preserve"> </w:t>
      </w:r>
      <w:r w:rsidR="007A6EB7" w:rsidRPr="007A6EB7">
        <w:rPr>
          <w:rFonts w:eastAsia="Calibri"/>
          <w:color w:val="000000"/>
        </w:rPr>
        <w:t>sản lượng 5.8621 tấn</w:t>
      </w:r>
      <w:r w:rsidR="004316E1" w:rsidRPr="004316E1">
        <w:rPr>
          <w:rFonts w:eastAsia="Calibri"/>
          <w:color w:val="000000"/>
        </w:rPr>
        <w:t xml:space="preserve">. </w:t>
      </w:r>
      <w:r w:rsidR="007A6EB7" w:rsidRPr="007A6EB7">
        <w:rPr>
          <w:rFonts w:eastAsia="Calibri"/>
          <w:color w:val="000000"/>
        </w:rPr>
        <w:t xml:space="preserve">Lũy kế thu hoạch đạt 19.769,5 ha/23.049,5, đạt 86%, năng suất 71 tạ/ha </w:t>
      </w:r>
      <w:r w:rsidR="007A6EB7" w:rsidRPr="007A6EB7">
        <w:rPr>
          <w:rFonts w:eastAsia="Calibri"/>
          <w:i/>
          <w:color w:val="000000"/>
        </w:rPr>
        <w:t xml:space="preserve">(ổn định so </w:t>
      </w:r>
      <w:r w:rsidR="009F624E">
        <w:rPr>
          <w:rFonts w:eastAsia="Calibri"/>
          <w:i/>
          <w:color w:val="000000"/>
        </w:rPr>
        <w:t xml:space="preserve">với </w:t>
      </w:r>
      <w:r w:rsidR="007A6EB7" w:rsidRPr="007A6EB7">
        <w:rPr>
          <w:rFonts w:eastAsia="Calibri"/>
          <w:i/>
          <w:color w:val="000000"/>
        </w:rPr>
        <w:t>cùng kỳ)</w:t>
      </w:r>
      <w:r w:rsidR="007A6EB7" w:rsidRPr="007A6EB7">
        <w:rPr>
          <w:rFonts w:eastAsia="Calibri"/>
          <w:color w:val="000000"/>
        </w:rPr>
        <w:t>, sản lượng 140.209 tấn</w:t>
      </w:r>
      <w:r w:rsidR="004316E1">
        <w:rPr>
          <w:rStyle w:val="FootnoteReference"/>
          <w:rFonts w:eastAsia="Calibri"/>
          <w:color w:val="000000"/>
        </w:rPr>
        <w:footnoteReference w:id="1"/>
      </w:r>
      <w:r w:rsidR="00EB12CD" w:rsidRPr="00EB12CD">
        <w:rPr>
          <w:rFonts w:eastAsia="Arial"/>
          <w:iCs/>
          <w:lang w:val="nl-NL"/>
        </w:rPr>
        <w:t xml:space="preserve">. </w:t>
      </w:r>
      <w:r w:rsidR="007A6EB7" w:rsidRPr="007A6EB7">
        <w:rPr>
          <w:rFonts w:eastAsia="Arial"/>
          <w:iCs/>
          <w:lang w:val="nl-NL"/>
        </w:rPr>
        <w:t xml:space="preserve">Vụ Hè Thu xuống giống 11.439,78 ha/23.038 ha </w:t>
      </w:r>
      <w:r w:rsidR="007A6EB7" w:rsidRPr="007A6EB7">
        <w:rPr>
          <w:rFonts w:eastAsia="Arial"/>
          <w:i/>
          <w:iCs/>
          <w:lang w:val="nl-NL"/>
        </w:rPr>
        <w:t>(cao hơn cùng kỳ 4.649,78 ha),</w:t>
      </w:r>
      <w:r w:rsidR="007A6EB7" w:rsidRPr="007A6EB7">
        <w:rPr>
          <w:rFonts w:eastAsia="Arial"/>
          <w:iCs/>
          <w:lang w:val="nl-NL"/>
        </w:rPr>
        <w:t xml:space="preserve"> đạ</w:t>
      </w:r>
      <w:r w:rsidR="007A6EB7">
        <w:rPr>
          <w:rFonts w:eastAsia="Arial"/>
          <w:iCs/>
          <w:lang w:val="nl-NL"/>
        </w:rPr>
        <w:t>t 50% kế hoạch.</w:t>
      </w:r>
      <w:r w:rsidR="007A6EB7" w:rsidRPr="007A6EB7">
        <w:rPr>
          <w:rFonts w:eastAsia="Arial"/>
          <w:iCs/>
          <w:lang w:val="nl-NL"/>
        </w:rPr>
        <w:t xml:space="preserve"> </w:t>
      </w:r>
      <w:r w:rsidR="00EB12CD" w:rsidRPr="00EB12CD">
        <w:rPr>
          <w:rFonts w:eastAsia="Arial"/>
          <w:iCs/>
          <w:lang w:val="nl-NL"/>
        </w:rPr>
        <w:t xml:space="preserve">Sản xuất hoa màu, cây công nghiệp ngắn ngày được nông dân chú trọng phát triển, diện tích xuống giống đến nay </w:t>
      </w:r>
      <w:r w:rsidR="007A6EB7" w:rsidRPr="007A6EB7">
        <w:rPr>
          <w:rFonts w:eastAsia="Arial"/>
          <w:iCs/>
          <w:lang w:val="nl-NL"/>
        </w:rPr>
        <w:t xml:space="preserve">2.377,65/4.000 ha </w:t>
      </w:r>
      <w:r w:rsidR="007A6EB7" w:rsidRPr="007A6EB7">
        <w:rPr>
          <w:rFonts w:eastAsia="Arial"/>
          <w:i/>
          <w:iCs/>
          <w:lang w:val="nl-NL"/>
        </w:rPr>
        <w:t>(cao hơn cùng kỳ 273,8 ha),</w:t>
      </w:r>
      <w:r w:rsidR="007A6EB7" w:rsidRPr="007A6EB7">
        <w:rPr>
          <w:rFonts w:eastAsia="Arial"/>
          <w:iCs/>
          <w:lang w:val="nl-NL"/>
        </w:rPr>
        <w:t xml:space="preserve"> đạt 59% </w:t>
      </w:r>
      <w:r w:rsidR="004316E1">
        <w:rPr>
          <w:rFonts w:eastAsia="Arial"/>
          <w:iCs/>
          <w:lang w:val="nl-NL"/>
        </w:rPr>
        <w:t xml:space="preserve"> kế hoạch</w:t>
      </w:r>
      <w:r w:rsidR="004316E1" w:rsidRPr="004316E1">
        <w:rPr>
          <w:rFonts w:eastAsia="Arial"/>
          <w:iCs/>
          <w:lang w:val="nl-NL"/>
        </w:rPr>
        <w:t>.</w:t>
      </w:r>
    </w:p>
    <w:p w14:paraId="31C345C4" w14:textId="3DC70D16" w:rsidR="006D2898" w:rsidRPr="003B38D2" w:rsidRDefault="003B38D2" w:rsidP="004316E1">
      <w:pPr>
        <w:widowControl w:val="0"/>
        <w:spacing w:before="120" w:after="120" w:line="360" w:lineRule="exact"/>
        <w:ind w:firstLine="567"/>
        <w:jc w:val="both"/>
        <w:rPr>
          <w:rFonts w:eastAsia="Arial"/>
          <w:i/>
          <w:lang w:val="nl-NL"/>
        </w:rPr>
      </w:pPr>
      <w:r>
        <w:rPr>
          <w:rFonts w:eastAsia="Arial"/>
          <w:i/>
          <w:lang w:val="da-DK"/>
        </w:rPr>
        <w:t xml:space="preserve">- </w:t>
      </w:r>
      <w:r w:rsidR="002821A5" w:rsidRPr="008D5E09">
        <w:rPr>
          <w:rFonts w:eastAsia="Arial"/>
          <w:i/>
          <w:lang w:val="da-DK"/>
        </w:rPr>
        <w:t>Chăn nuôi</w:t>
      </w:r>
      <w:r>
        <w:rPr>
          <w:rFonts w:eastAsia="Arial"/>
          <w:i/>
          <w:lang w:val="nl-NL"/>
        </w:rPr>
        <w:t xml:space="preserve">: </w:t>
      </w:r>
      <w:r w:rsidR="00EB12CD" w:rsidRPr="00EB12CD">
        <w:rPr>
          <w:rFonts w:eastAsia="Arial"/>
          <w:iCs/>
          <w:lang w:val="nl-NL"/>
        </w:rPr>
        <w:t>Tổng đàn trâu, bò trên địa bàn Huyện đến na</w:t>
      </w:r>
      <w:r w:rsidR="004316E1">
        <w:rPr>
          <w:rFonts w:eastAsia="Arial"/>
          <w:iCs/>
          <w:lang w:val="nl-NL"/>
        </w:rPr>
        <w:t xml:space="preserve">y </w:t>
      </w:r>
      <w:r w:rsidR="007A6EB7" w:rsidRPr="007A6EB7">
        <w:rPr>
          <w:rFonts w:eastAsia="Arial"/>
          <w:iCs/>
          <w:lang w:val="nl-NL"/>
        </w:rPr>
        <w:t xml:space="preserve">13.668/18.000 con </w:t>
      </w:r>
      <w:r w:rsidR="007A6EB7" w:rsidRPr="007A6EB7">
        <w:rPr>
          <w:rFonts w:eastAsia="Arial"/>
          <w:i/>
          <w:iCs/>
          <w:lang w:val="nl-NL"/>
        </w:rPr>
        <w:t xml:space="preserve">(cao hơn cùng kỳ 1.020 con), </w:t>
      </w:r>
      <w:r w:rsidR="007A6EB7" w:rsidRPr="007A6EB7">
        <w:rPr>
          <w:rFonts w:eastAsia="Arial"/>
          <w:iCs/>
          <w:lang w:val="nl-NL"/>
        </w:rPr>
        <w:t>đạt 76%</w:t>
      </w:r>
      <w:r w:rsidR="007A6EB7">
        <w:rPr>
          <w:rFonts w:eastAsia="Arial"/>
          <w:iCs/>
          <w:lang w:val="nl-NL"/>
        </w:rPr>
        <w:t xml:space="preserve"> </w:t>
      </w:r>
      <w:r w:rsidR="00EB12CD" w:rsidRPr="00EB12CD">
        <w:rPr>
          <w:rFonts w:eastAsia="Arial"/>
          <w:iCs/>
          <w:lang w:val="nl-NL"/>
        </w:rPr>
        <w:t xml:space="preserve">kế hoạch, đàn heo </w:t>
      </w:r>
      <w:r w:rsidR="007A6EB7" w:rsidRPr="007A6EB7">
        <w:rPr>
          <w:rFonts w:eastAsia="Arial"/>
          <w:iCs/>
          <w:lang w:val="nl-NL"/>
        </w:rPr>
        <w:t xml:space="preserve">15.024 </w:t>
      </w:r>
      <w:r w:rsidR="00EB12CD" w:rsidRPr="00EB12CD">
        <w:rPr>
          <w:rFonts w:eastAsia="Arial"/>
          <w:iCs/>
          <w:lang w:val="nl-NL"/>
        </w:rPr>
        <w:t xml:space="preserve">con, đàn gia cầm </w:t>
      </w:r>
      <w:r w:rsidR="007A6EB7" w:rsidRPr="007A6EB7">
        <w:rPr>
          <w:rFonts w:eastAsia="Arial"/>
          <w:iCs/>
          <w:lang w:val="nl-NL"/>
        </w:rPr>
        <w:t xml:space="preserve">919.050 </w:t>
      </w:r>
      <w:r w:rsidR="00EB12CD" w:rsidRPr="00EB12CD">
        <w:rPr>
          <w:rFonts w:eastAsia="Arial"/>
          <w:iCs/>
          <w:lang w:val="nl-NL"/>
        </w:rPr>
        <w:t>con</w:t>
      </w:r>
      <w:r w:rsidR="00C2439D" w:rsidRPr="008D5E09">
        <w:rPr>
          <w:spacing w:val="-4"/>
          <w:lang w:val="nl-NL"/>
        </w:rPr>
        <w:t>. Tình hình dịch bệnh trên gia súc, gia cầm được kiểm soát tốt</w:t>
      </w:r>
      <w:r w:rsidR="00C2439D" w:rsidRPr="008D5E09">
        <w:rPr>
          <w:spacing w:val="-4"/>
          <w:vertAlign w:val="superscript"/>
          <w:lang w:val="nl-NL"/>
        </w:rPr>
        <w:footnoteReference w:id="2"/>
      </w:r>
      <w:r w:rsidR="00322768" w:rsidRPr="008D5E09">
        <w:rPr>
          <w:spacing w:val="-2"/>
          <w:lang w:val="nl-NL"/>
        </w:rPr>
        <w:t xml:space="preserve">. </w:t>
      </w:r>
      <w:r w:rsidR="00816810" w:rsidRPr="008D5E09">
        <w:rPr>
          <w:rFonts w:eastAsia="Calibri"/>
        </w:rPr>
        <w:t>Tình hình tiêu thụ thịt gia súc, gia cầm chưa xảy ra tình trạng tồn đọng</w:t>
      </w:r>
      <w:r w:rsidR="004E0422">
        <w:rPr>
          <w:rFonts w:eastAsia="Calibri"/>
        </w:rPr>
        <w:t>,</w:t>
      </w:r>
      <w:r w:rsidR="004E0422" w:rsidRPr="004E0422">
        <w:rPr>
          <w:rFonts w:eastAsia="MS Mincho"/>
          <w:iCs/>
          <w:color w:val="000000"/>
        </w:rPr>
        <w:t xml:space="preserve"> </w:t>
      </w:r>
      <w:r w:rsidR="005640CA">
        <w:rPr>
          <w:rFonts w:eastAsia="MS Mincho"/>
          <w:iCs/>
          <w:color w:val="000000"/>
        </w:rPr>
        <w:t>g</w:t>
      </w:r>
      <w:r w:rsidR="005640CA" w:rsidRPr="005640CA">
        <w:rPr>
          <w:rFonts w:eastAsia="MS Mincho"/>
          <w:iCs/>
          <w:color w:val="000000"/>
        </w:rPr>
        <w:t>iá một số mặt hàng vật nuôi tăng so với tháng trước</w:t>
      </w:r>
      <w:r w:rsidR="00B504FD" w:rsidRPr="008D5E09">
        <w:rPr>
          <w:rFonts w:eastAsia="Calibri"/>
          <w:bCs/>
          <w:spacing w:val="-2"/>
          <w:vertAlign w:val="superscript"/>
          <w:lang w:val="nl-NL"/>
        </w:rPr>
        <w:t>(</w:t>
      </w:r>
      <w:r w:rsidR="00B504FD" w:rsidRPr="008D5E09">
        <w:rPr>
          <w:rFonts w:eastAsia="Calibri"/>
          <w:bCs/>
          <w:spacing w:val="-2"/>
          <w:vertAlign w:val="superscript"/>
          <w:lang w:val="nl-NL"/>
        </w:rPr>
        <w:footnoteReference w:id="3"/>
      </w:r>
      <w:r w:rsidR="00B504FD" w:rsidRPr="008D5E09">
        <w:rPr>
          <w:rFonts w:eastAsia="Calibri"/>
          <w:bCs/>
          <w:spacing w:val="-2"/>
          <w:vertAlign w:val="superscript"/>
          <w:lang w:val="nl-NL"/>
        </w:rPr>
        <w:t>)</w:t>
      </w:r>
      <w:r w:rsidR="00B504FD" w:rsidRPr="008D5E09">
        <w:rPr>
          <w:spacing w:val="-2"/>
          <w:lang w:val="sv-SE"/>
        </w:rPr>
        <w:t>.</w:t>
      </w:r>
    </w:p>
    <w:p w14:paraId="1E72AD3F" w14:textId="1AA83A41" w:rsidR="00B504FD" w:rsidRDefault="003B38D2" w:rsidP="00183A72">
      <w:pPr>
        <w:widowControl w:val="0"/>
        <w:shd w:val="clear" w:color="auto" w:fill="FFFFFF"/>
        <w:spacing w:before="120" w:after="120" w:line="360" w:lineRule="exact"/>
        <w:ind w:firstLine="567"/>
        <w:jc w:val="both"/>
        <w:rPr>
          <w:rFonts w:eastAsia="Calibri"/>
        </w:rPr>
      </w:pPr>
      <w:r>
        <w:rPr>
          <w:rFonts w:eastAsia="Calibri"/>
          <w:i/>
          <w:lang w:val="es-BO" w:eastAsia="x-none"/>
        </w:rPr>
        <w:t xml:space="preserve">- </w:t>
      </w:r>
      <w:r w:rsidR="00B504FD" w:rsidRPr="008D5E09">
        <w:rPr>
          <w:rFonts w:eastAsia="Calibri"/>
          <w:i/>
          <w:lang w:val="es-BO" w:eastAsia="x-none"/>
        </w:rPr>
        <w:t>Ngành nuôi trồng thủy</w:t>
      </w:r>
      <w:r w:rsidR="00B504FD" w:rsidRPr="008D5E09">
        <w:rPr>
          <w:rFonts w:eastAsia="Arial"/>
          <w:i/>
          <w:lang w:val="nl-NL" w:eastAsia="x-none"/>
        </w:rPr>
        <w:t xml:space="preserve"> sản</w:t>
      </w:r>
      <w:bookmarkStart w:id="3" w:name="_Hlk190632330"/>
      <w:r>
        <w:rPr>
          <w:rFonts w:eastAsia="Arial"/>
          <w:i/>
          <w:lang w:val="nl-NL" w:eastAsia="x-none"/>
        </w:rPr>
        <w:t xml:space="preserve">: </w:t>
      </w:r>
      <w:r w:rsidR="00B504FD" w:rsidRPr="008D5E09">
        <w:rPr>
          <w:shd w:val="clear" w:color="auto" w:fill="FFFFFF"/>
          <w:lang w:val="nl-NL" w:eastAsia="vi-VN"/>
        </w:rPr>
        <w:t xml:space="preserve">Tình hình nuôi trồng thuỷ sản tiếp tục duy trì, </w:t>
      </w:r>
      <w:r w:rsidR="00B504FD" w:rsidRPr="008D5E09">
        <w:rPr>
          <w:rFonts w:eastAsia="MS Mincho"/>
          <w:lang w:val="pt-BR"/>
        </w:rPr>
        <w:t>d</w:t>
      </w:r>
      <w:r w:rsidR="00B504FD" w:rsidRPr="008D5E09">
        <w:rPr>
          <w:lang w:val="nl-NL"/>
        </w:rPr>
        <w:t xml:space="preserve">iện tích thả nuôi </w:t>
      </w:r>
      <w:r w:rsidR="00B504FD" w:rsidRPr="008D5E09">
        <w:rPr>
          <w:rFonts w:eastAsia="MS Mincho"/>
          <w:lang w:val="vi-VN"/>
        </w:rPr>
        <w:t xml:space="preserve">đến </w:t>
      </w:r>
      <w:r w:rsidR="004E0422">
        <w:rPr>
          <w:rFonts w:eastAsia="MS Mincho"/>
          <w:lang w:val="nl-NL"/>
        </w:rPr>
        <w:t>nay</w:t>
      </w:r>
      <w:r w:rsidR="00B504FD" w:rsidRPr="008D5E09">
        <w:rPr>
          <w:rFonts w:eastAsia="MS Mincho"/>
          <w:lang w:val="vi-VN"/>
        </w:rPr>
        <w:t xml:space="preserve"> là </w:t>
      </w:r>
      <w:r w:rsidR="00B504FD" w:rsidRPr="008D5E09">
        <w:rPr>
          <w:rFonts w:eastAsia="Calibri"/>
        </w:rPr>
        <w:t xml:space="preserve">1.247 </w:t>
      </w:r>
      <w:r w:rsidR="00B504FD" w:rsidRPr="008D5E09">
        <w:rPr>
          <w:rFonts w:eastAsia="MS Mincho"/>
          <w:iCs/>
          <w:lang w:val="vi-VN"/>
        </w:rPr>
        <w:t>ha</w:t>
      </w:r>
      <w:r w:rsidR="00B504FD" w:rsidRPr="008D5E09">
        <w:rPr>
          <w:rFonts w:eastAsia="MS Mincho"/>
          <w:bCs/>
          <w:iCs/>
          <w:lang w:val="nl-NL"/>
        </w:rPr>
        <w:t>;</w:t>
      </w:r>
      <w:r w:rsidR="00B504FD" w:rsidRPr="008D5E09">
        <w:rPr>
          <w:rFonts w:eastAsia="MS Mincho"/>
          <w:iCs/>
          <w:lang w:val="nl-NL"/>
        </w:rPr>
        <w:t xml:space="preserve"> </w:t>
      </w:r>
      <w:bookmarkEnd w:id="3"/>
      <w:r w:rsidR="00EB12CD" w:rsidRPr="00EB12CD">
        <w:rPr>
          <w:rFonts w:eastAsia="Arial"/>
          <w:iCs/>
          <w:lang w:val="nl-NL"/>
        </w:rPr>
        <w:t>sản lượng khai thác thủy sản đến đế</w:t>
      </w:r>
      <w:r w:rsidR="007A6EB7">
        <w:rPr>
          <w:rFonts w:eastAsia="Arial"/>
          <w:iCs/>
          <w:lang w:val="nl-NL"/>
        </w:rPr>
        <w:t>n ngày 15/4</w:t>
      </w:r>
      <w:r w:rsidR="00EB12CD" w:rsidRPr="00EB12CD">
        <w:rPr>
          <w:rFonts w:eastAsia="Arial"/>
          <w:iCs/>
          <w:lang w:val="nl-NL"/>
        </w:rPr>
        <w:t xml:space="preserve">/2025 đạt </w:t>
      </w:r>
      <w:r w:rsidR="007A6EB7" w:rsidRPr="007A6EB7">
        <w:rPr>
          <w:rFonts w:eastAsia="Calibri"/>
          <w:color w:val="000000"/>
        </w:rPr>
        <w:t>44.555,4 tấn/122.000 tấ</w:t>
      </w:r>
      <w:r w:rsidR="007A6EB7">
        <w:rPr>
          <w:rFonts w:eastAsia="Calibri"/>
          <w:color w:val="000000"/>
        </w:rPr>
        <w:t>n</w:t>
      </w:r>
      <w:r w:rsidR="007A6EB7" w:rsidRPr="007A6EB7">
        <w:rPr>
          <w:rFonts w:eastAsia="Calibri"/>
          <w:color w:val="000000"/>
        </w:rPr>
        <w:t xml:space="preserve"> </w:t>
      </w:r>
      <w:r w:rsidR="007A6EB7" w:rsidRPr="007A6EB7">
        <w:rPr>
          <w:rFonts w:eastAsia="Calibri"/>
          <w:i/>
          <w:color w:val="000000"/>
        </w:rPr>
        <w:t>(cao hơn cùng kỳ 8.979,66 tấn),</w:t>
      </w:r>
      <w:r w:rsidR="007A6EB7" w:rsidRPr="007A6EB7">
        <w:rPr>
          <w:rFonts w:eastAsia="Calibri"/>
          <w:color w:val="000000"/>
        </w:rPr>
        <w:t xml:space="preserve"> đạt 32%</w:t>
      </w:r>
      <w:r w:rsidR="007A38C9">
        <w:rPr>
          <w:rFonts w:eastAsia="Calibri"/>
          <w:color w:val="000000"/>
        </w:rPr>
        <w:t xml:space="preserve"> </w:t>
      </w:r>
      <w:r w:rsidR="00EB12CD" w:rsidRPr="00EB12CD">
        <w:rPr>
          <w:rFonts w:eastAsia="Arial"/>
          <w:iCs/>
          <w:lang w:val="nl-NL"/>
        </w:rPr>
        <w:t>kế hoạch</w:t>
      </w:r>
      <w:r w:rsidR="00EB12CD">
        <w:rPr>
          <w:rStyle w:val="FootnoteReference"/>
          <w:spacing w:val="4"/>
          <w:lang w:val="nl-NL"/>
        </w:rPr>
        <w:t xml:space="preserve"> </w:t>
      </w:r>
      <w:r w:rsidR="00F6112D">
        <w:rPr>
          <w:rStyle w:val="FootnoteReference"/>
          <w:spacing w:val="4"/>
          <w:lang w:val="nl-NL"/>
        </w:rPr>
        <w:footnoteReference w:id="4"/>
      </w:r>
      <w:r w:rsidR="004316E1">
        <w:rPr>
          <w:rFonts w:eastAsia="Calibri"/>
        </w:rPr>
        <w:t>.</w:t>
      </w:r>
    </w:p>
    <w:p w14:paraId="40B7BBD5" w14:textId="06AD2362" w:rsidR="00EA0741" w:rsidRPr="00EA0741" w:rsidRDefault="00EA0741" w:rsidP="00183A72">
      <w:pPr>
        <w:widowControl w:val="0"/>
        <w:shd w:val="clear" w:color="auto" w:fill="FFFFFF"/>
        <w:spacing w:before="120" w:after="120" w:line="360" w:lineRule="exact"/>
        <w:ind w:firstLine="567"/>
        <w:jc w:val="both"/>
        <w:rPr>
          <w:rFonts w:eastAsia="Calibri"/>
          <w:i/>
          <w:iCs/>
        </w:rPr>
      </w:pPr>
      <w:r>
        <w:rPr>
          <w:rFonts w:eastAsia="Calibri"/>
          <w:i/>
          <w:iCs/>
        </w:rPr>
        <w:t>-</w:t>
      </w:r>
      <w:r w:rsidRPr="00EA0741">
        <w:rPr>
          <w:rFonts w:eastAsia="Calibri"/>
          <w:i/>
          <w:iCs/>
        </w:rPr>
        <w:t xml:space="preserve"> Về phát triển mô hình hội quán, kinh tế tập thể và xây dựng nông thôn mới, phát triển sản phẩm OCOP</w:t>
      </w:r>
    </w:p>
    <w:p w14:paraId="33A3AB0B" w14:textId="23BB09ED" w:rsidR="00B504FD" w:rsidRPr="0020660C" w:rsidRDefault="00EA0741" w:rsidP="00183A72">
      <w:pPr>
        <w:widowControl w:val="0"/>
        <w:spacing w:before="120" w:after="120" w:line="360" w:lineRule="exact"/>
        <w:ind w:firstLine="567"/>
        <w:jc w:val="both"/>
        <w:rPr>
          <w:rFonts w:eastAsia="Calibri"/>
          <w:spacing w:val="-6"/>
          <w:lang w:val="it-IT"/>
        </w:rPr>
      </w:pPr>
      <w:r w:rsidRPr="0020660C">
        <w:rPr>
          <w:rFonts w:eastAsia="Arial"/>
          <w:i/>
          <w:spacing w:val="-6"/>
          <w:shd w:val="clear" w:color="auto" w:fill="FFFFFF"/>
          <w:lang w:val="pt-BR"/>
        </w:rPr>
        <w:t>+</w:t>
      </w:r>
      <w:r w:rsidR="00B504FD" w:rsidRPr="0020660C">
        <w:rPr>
          <w:rFonts w:eastAsia="Arial"/>
          <w:i/>
          <w:spacing w:val="-6"/>
          <w:shd w:val="clear" w:color="auto" w:fill="FFFFFF"/>
          <w:lang w:val="pt-BR"/>
        </w:rPr>
        <w:t xml:space="preserve"> </w:t>
      </w:r>
      <w:bookmarkStart w:id="4" w:name="_Hlk190634220"/>
      <w:r w:rsidR="00B504FD" w:rsidRPr="0020660C">
        <w:rPr>
          <w:rFonts w:eastAsia="Arial"/>
          <w:i/>
          <w:spacing w:val="-6"/>
          <w:shd w:val="clear" w:color="auto" w:fill="FFFFFF"/>
          <w:lang w:val="pt-BR"/>
        </w:rPr>
        <w:t>Về xây dựng nông thôn mới</w:t>
      </w:r>
      <w:r w:rsidR="003B38D2" w:rsidRPr="0020660C">
        <w:rPr>
          <w:rFonts w:eastAsia="Arial"/>
          <w:i/>
          <w:spacing w:val="-6"/>
          <w:shd w:val="clear" w:color="auto" w:fill="FFFFFF"/>
          <w:lang w:val="pt-BR"/>
        </w:rPr>
        <w:t>:</w:t>
      </w:r>
      <w:r w:rsidRPr="0020660C">
        <w:rPr>
          <w:spacing w:val="-6"/>
        </w:rPr>
        <w:t xml:space="preserve"> </w:t>
      </w:r>
      <w:bookmarkEnd w:id="4"/>
      <w:r w:rsidR="0020660C">
        <w:rPr>
          <w:spacing w:val="-6"/>
        </w:rPr>
        <w:t>H</w:t>
      </w:r>
      <w:r w:rsidR="0020660C" w:rsidRPr="0020660C">
        <w:rPr>
          <w:spacing w:val="-6"/>
        </w:rPr>
        <w:t xml:space="preserve">uyện Tân Hồng được công Huyện đạt chuẩn nông thôn mới năm 2024 </w:t>
      </w:r>
      <w:r w:rsidR="0020660C">
        <w:rPr>
          <w:spacing w:val="-6"/>
        </w:rPr>
        <w:t xml:space="preserve">tại </w:t>
      </w:r>
      <w:r w:rsidR="0020660C" w:rsidRPr="0020660C">
        <w:rPr>
          <w:spacing w:val="-6"/>
        </w:rPr>
        <w:t>Quyết định số 654/QĐ-TTg ngày 21 tháng 3 n</w:t>
      </w:r>
      <w:r w:rsidR="0020660C">
        <w:rPr>
          <w:spacing w:val="-6"/>
        </w:rPr>
        <w:t>ăm 2025 của Thủ tướng Chính phủ</w:t>
      </w:r>
      <w:r w:rsidR="009F624E">
        <w:rPr>
          <w:spacing w:val="-6"/>
        </w:rPr>
        <w:t>,</w:t>
      </w:r>
      <w:r w:rsidR="0020660C">
        <w:rPr>
          <w:spacing w:val="-6"/>
        </w:rPr>
        <w:t xml:space="preserve"> ngày 17/4/2025</w:t>
      </w:r>
      <w:r w:rsidR="009F624E" w:rsidRPr="009F624E">
        <w:rPr>
          <w:spacing w:val="-6"/>
        </w:rPr>
        <w:t xml:space="preserve"> </w:t>
      </w:r>
      <w:r w:rsidR="009F624E">
        <w:rPr>
          <w:spacing w:val="-6"/>
        </w:rPr>
        <w:t>đã tổ chức Lễ công bố</w:t>
      </w:r>
      <w:r w:rsidR="0020660C">
        <w:rPr>
          <w:spacing w:val="-6"/>
        </w:rPr>
        <w:t xml:space="preserve">. </w:t>
      </w:r>
      <w:r w:rsidR="0020660C">
        <w:rPr>
          <w:rFonts w:eastAsia="Calibri"/>
          <w:spacing w:val="-6"/>
          <w:lang w:val="it-IT"/>
        </w:rPr>
        <w:t>Đ</w:t>
      </w:r>
      <w:r w:rsidR="004316E1" w:rsidRPr="0020660C">
        <w:rPr>
          <w:rFonts w:eastAsia="Calibri"/>
          <w:spacing w:val="-6"/>
          <w:lang w:val="it-IT"/>
        </w:rPr>
        <w:t xml:space="preserve">ến nay, Huyện có 8 xã đạt chuẩn nông thôn mới </w:t>
      </w:r>
      <w:r w:rsidR="004316E1" w:rsidRPr="0020660C">
        <w:rPr>
          <w:rFonts w:eastAsia="Calibri"/>
          <w:i/>
          <w:iCs/>
          <w:spacing w:val="-6"/>
          <w:lang w:val="it-IT"/>
        </w:rPr>
        <w:t>(đạt tỷ lệ 100%)</w:t>
      </w:r>
      <w:r w:rsidR="004316E1" w:rsidRPr="0020660C">
        <w:rPr>
          <w:rFonts w:eastAsia="Calibri"/>
          <w:spacing w:val="-6"/>
          <w:lang w:val="it-IT"/>
        </w:rPr>
        <w:t xml:space="preserve"> và 02 xã đạt chuẩn xã nông thôn mới nâng cao </w:t>
      </w:r>
      <w:r w:rsidR="004316E1" w:rsidRPr="0020660C">
        <w:rPr>
          <w:rFonts w:eastAsia="Calibri"/>
          <w:i/>
          <w:iCs/>
          <w:spacing w:val="-6"/>
          <w:lang w:val="it-IT"/>
        </w:rPr>
        <w:t>(bằng 25% so với xã đạt chuẩn nông thôn mới)</w:t>
      </w:r>
      <w:r w:rsidR="0020660C">
        <w:rPr>
          <w:rFonts w:eastAsia="Calibri"/>
          <w:spacing w:val="-6"/>
          <w:lang w:val="it-IT"/>
        </w:rPr>
        <w:t xml:space="preserve"> và</w:t>
      </w:r>
      <w:r w:rsidR="004316E1" w:rsidRPr="0020660C">
        <w:rPr>
          <w:rFonts w:eastAsia="Calibri"/>
          <w:spacing w:val="-6"/>
          <w:lang w:val="it-IT"/>
        </w:rPr>
        <w:t xml:space="preserve"> </w:t>
      </w:r>
      <w:r w:rsidR="0020660C">
        <w:rPr>
          <w:spacing w:val="-6"/>
        </w:rPr>
        <w:t>H</w:t>
      </w:r>
      <w:r w:rsidR="0020660C" w:rsidRPr="0020660C">
        <w:rPr>
          <w:spacing w:val="-6"/>
        </w:rPr>
        <w:t>uyện đạt chuẩn nông thôn mới</w:t>
      </w:r>
      <w:r w:rsidR="0020660C">
        <w:rPr>
          <w:spacing w:val="-6"/>
        </w:rPr>
        <w:t>.</w:t>
      </w:r>
    </w:p>
    <w:p w14:paraId="2B7E84EF" w14:textId="56E88A7C" w:rsidR="00EA0741" w:rsidRDefault="00EA0741" w:rsidP="00183A72">
      <w:pPr>
        <w:widowControl w:val="0"/>
        <w:spacing w:before="120" w:after="120" w:line="360" w:lineRule="exact"/>
        <w:ind w:firstLine="567"/>
        <w:jc w:val="both"/>
        <w:rPr>
          <w:rFonts w:eastAsia="Arial"/>
          <w:iCs/>
          <w:spacing w:val="-10"/>
          <w:shd w:val="clear" w:color="auto" w:fill="FFFFFF"/>
          <w:lang w:val="pt-BR"/>
        </w:rPr>
      </w:pPr>
      <w:r>
        <w:rPr>
          <w:rFonts w:eastAsia="Arial"/>
          <w:i/>
          <w:spacing w:val="-10"/>
          <w:shd w:val="clear" w:color="auto" w:fill="FFFFFF"/>
          <w:lang w:val="pt-BR"/>
        </w:rPr>
        <w:t>+</w:t>
      </w:r>
      <w:r w:rsidRPr="00EA0741">
        <w:rPr>
          <w:rFonts w:eastAsia="Arial"/>
          <w:i/>
          <w:spacing w:val="-10"/>
          <w:shd w:val="clear" w:color="auto" w:fill="FFFFFF"/>
          <w:lang w:val="pt-BR"/>
        </w:rPr>
        <w:t xml:space="preserve"> Phát triển mô hình hội quán, kinh tế tập thể:</w:t>
      </w:r>
      <w:r w:rsidRPr="00EA0741">
        <w:t xml:space="preserve"> </w:t>
      </w:r>
      <w:r>
        <w:t>T</w:t>
      </w:r>
      <w:r w:rsidRPr="00EA0741">
        <w:t xml:space="preserve">rên địa bàn </w:t>
      </w:r>
      <w:r>
        <w:t>H</w:t>
      </w:r>
      <w:r w:rsidRPr="00EA0741">
        <w:t xml:space="preserve">uyện hiện có 09 </w:t>
      </w:r>
      <w:r>
        <w:t>H</w:t>
      </w:r>
      <w:r w:rsidRPr="00EA0741">
        <w:t xml:space="preserve">ội quán với tổng số 389 </w:t>
      </w:r>
      <w:r>
        <w:t>thành viên</w:t>
      </w:r>
      <w:r w:rsidRPr="00EA0741">
        <w:t xml:space="preserve"> viên </w:t>
      </w:r>
      <w:r w:rsidRPr="00EA0741">
        <w:rPr>
          <w:i/>
          <w:iCs/>
        </w:rPr>
        <w:t>(giảm 102</w:t>
      </w:r>
      <w:r>
        <w:rPr>
          <w:i/>
          <w:iCs/>
        </w:rPr>
        <w:t xml:space="preserve"> thành viên</w:t>
      </w:r>
      <w:r w:rsidRPr="00EA0741">
        <w:rPr>
          <w:i/>
          <w:iCs/>
        </w:rPr>
        <w:t xml:space="preserve"> so</w:t>
      </w:r>
      <w:r>
        <w:rPr>
          <w:i/>
          <w:iCs/>
        </w:rPr>
        <w:t xml:space="preserve"> với</w:t>
      </w:r>
      <w:r w:rsidRPr="00EA0741">
        <w:rPr>
          <w:i/>
          <w:iCs/>
        </w:rPr>
        <w:t xml:space="preserve"> cùng kỳ)</w:t>
      </w:r>
      <w:r w:rsidR="0048414A">
        <w:rPr>
          <w:i/>
          <w:iCs/>
        </w:rPr>
        <w:t>;</w:t>
      </w:r>
      <w:r w:rsidR="005611A7">
        <w:rPr>
          <w:rFonts w:eastAsia="Arial"/>
          <w:iCs/>
          <w:spacing w:val="-10"/>
          <w:shd w:val="clear" w:color="auto" w:fill="FFFFFF"/>
          <w:lang w:val="pt-BR"/>
        </w:rPr>
        <w:t xml:space="preserve"> có 14</w:t>
      </w:r>
      <w:r w:rsidRPr="00EA0741">
        <w:rPr>
          <w:rFonts w:eastAsia="Arial"/>
          <w:iCs/>
          <w:spacing w:val="-10"/>
          <w:shd w:val="clear" w:color="auto" w:fill="FFFFFF"/>
          <w:lang w:val="pt-BR"/>
        </w:rPr>
        <w:t xml:space="preserve"> Hợp tác xã</w:t>
      </w:r>
      <w:r w:rsidR="005611A7">
        <w:rPr>
          <w:rFonts w:eastAsia="Arial"/>
          <w:iCs/>
          <w:spacing w:val="-10"/>
          <w:shd w:val="clear" w:color="auto" w:fill="FFFFFF"/>
          <w:lang w:val="pt-BR"/>
        </w:rPr>
        <w:t xml:space="preserve"> </w:t>
      </w:r>
      <w:r w:rsidR="005611A7" w:rsidRPr="005611A7">
        <w:rPr>
          <w:rFonts w:eastAsia="Arial"/>
          <w:i/>
          <w:iCs/>
          <w:spacing w:val="-10"/>
          <w:shd w:val="clear" w:color="auto" w:fill="FFFFFF"/>
          <w:lang w:val="pt-BR"/>
        </w:rPr>
        <w:t>(giảm 01 HTX)</w:t>
      </w:r>
      <w:r w:rsidRPr="00EA0741">
        <w:rPr>
          <w:rFonts w:eastAsia="Arial"/>
          <w:iCs/>
          <w:spacing w:val="-10"/>
          <w:shd w:val="clear" w:color="auto" w:fill="FFFFFF"/>
          <w:lang w:val="pt-BR"/>
        </w:rPr>
        <w:t>, trong đó: 1</w:t>
      </w:r>
      <w:r w:rsidR="005611A7">
        <w:rPr>
          <w:rFonts w:eastAsia="Arial"/>
          <w:iCs/>
          <w:spacing w:val="-10"/>
          <w:shd w:val="clear" w:color="auto" w:fill="FFFFFF"/>
          <w:lang w:val="pt-BR"/>
        </w:rPr>
        <w:t>1</w:t>
      </w:r>
      <w:r w:rsidRPr="00EA0741">
        <w:rPr>
          <w:rFonts w:eastAsia="Arial"/>
          <w:iCs/>
          <w:spacing w:val="-10"/>
          <w:shd w:val="clear" w:color="auto" w:fill="FFFFFF"/>
          <w:lang w:val="pt-BR"/>
        </w:rPr>
        <w:t xml:space="preserve"> HTX hoạt động lĩnh vực </w:t>
      </w:r>
      <w:r w:rsidR="0048414A">
        <w:rPr>
          <w:rFonts w:eastAsia="Arial"/>
          <w:iCs/>
          <w:spacing w:val="-10"/>
          <w:shd w:val="clear" w:color="auto" w:fill="FFFFFF"/>
          <w:lang w:val="pt-BR"/>
        </w:rPr>
        <w:t>n</w:t>
      </w:r>
      <w:r w:rsidRPr="00EA0741">
        <w:rPr>
          <w:rFonts w:eastAsia="Arial"/>
          <w:iCs/>
          <w:spacing w:val="-10"/>
          <w:shd w:val="clear" w:color="auto" w:fill="FFFFFF"/>
          <w:lang w:val="pt-BR"/>
        </w:rPr>
        <w:t xml:space="preserve">ông nghiệp, 03 HTX hoạt động </w:t>
      </w:r>
      <w:r w:rsidR="0048414A">
        <w:rPr>
          <w:rFonts w:eastAsia="Arial"/>
          <w:iCs/>
          <w:spacing w:val="-10"/>
          <w:shd w:val="clear" w:color="auto" w:fill="FFFFFF"/>
          <w:lang w:val="pt-BR"/>
        </w:rPr>
        <w:t>l</w:t>
      </w:r>
      <w:r w:rsidRPr="00EA0741">
        <w:rPr>
          <w:rFonts w:eastAsia="Arial"/>
          <w:iCs/>
          <w:spacing w:val="-10"/>
          <w:shd w:val="clear" w:color="auto" w:fill="FFFFFF"/>
          <w:lang w:val="pt-BR"/>
        </w:rPr>
        <w:t>ĩnh vực thương mại - dịch vụ và 01 HTX hoạt động lĩnh vực tài chính, ngân hàng và bảo hiểm, với 2.150 thành viên</w:t>
      </w:r>
      <w:r w:rsidR="0048414A">
        <w:rPr>
          <w:rFonts w:eastAsia="Arial"/>
          <w:iCs/>
          <w:spacing w:val="-10"/>
          <w:shd w:val="clear" w:color="auto" w:fill="FFFFFF"/>
          <w:lang w:val="pt-BR"/>
        </w:rPr>
        <w:t>;</w:t>
      </w:r>
      <w:r w:rsidR="0048414A" w:rsidRPr="0048414A">
        <w:t xml:space="preserve"> </w:t>
      </w:r>
      <w:r w:rsidR="0048414A">
        <w:rPr>
          <w:rFonts w:eastAsia="Arial"/>
          <w:iCs/>
          <w:spacing w:val="-10"/>
          <w:shd w:val="clear" w:color="auto" w:fill="FFFFFF"/>
          <w:lang w:val="pt-BR"/>
        </w:rPr>
        <w:t>c</w:t>
      </w:r>
      <w:r w:rsidR="0048414A" w:rsidRPr="0048414A">
        <w:rPr>
          <w:rFonts w:eastAsia="Arial"/>
          <w:iCs/>
          <w:spacing w:val="-10"/>
          <w:shd w:val="clear" w:color="auto" w:fill="FFFFFF"/>
          <w:lang w:val="pt-BR"/>
        </w:rPr>
        <w:t>ó 78 Tổ hợp tác, với 7.142 Tổ viên, các Tổ hợp tác trên địa bàn Huyện hầu hết hoạt động trong lĩnh vực nông nghiệp</w:t>
      </w:r>
      <w:r w:rsidR="0048414A">
        <w:rPr>
          <w:rFonts w:eastAsia="Arial"/>
          <w:iCs/>
          <w:spacing w:val="-10"/>
          <w:shd w:val="clear" w:color="auto" w:fill="FFFFFF"/>
          <w:lang w:val="pt-BR"/>
        </w:rPr>
        <w:t>.</w:t>
      </w:r>
    </w:p>
    <w:p w14:paraId="4B8086E8" w14:textId="69008672" w:rsidR="0048414A" w:rsidRPr="0048414A" w:rsidRDefault="0048414A" w:rsidP="00183A72">
      <w:pPr>
        <w:widowControl w:val="0"/>
        <w:spacing w:before="120" w:after="120" w:line="360" w:lineRule="exact"/>
        <w:ind w:firstLine="567"/>
        <w:jc w:val="both"/>
        <w:rPr>
          <w:rFonts w:eastAsia="Arial"/>
          <w:i/>
          <w:spacing w:val="-10"/>
          <w:shd w:val="clear" w:color="auto" w:fill="FFFFFF"/>
          <w:lang w:val="pt-BR"/>
        </w:rPr>
      </w:pPr>
      <w:r w:rsidRPr="0048414A">
        <w:rPr>
          <w:rFonts w:eastAsia="Arial"/>
          <w:i/>
          <w:spacing w:val="-10"/>
          <w:shd w:val="clear" w:color="auto" w:fill="FFFFFF"/>
          <w:lang w:val="pt-BR"/>
        </w:rPr>
        <w:t>+ Chương trình OCOP:</w:t>
      </w:r>
      <w:r w:rsidRPr="0048414A">
        <w:t xml:space="preserve"> </w:t>
      </w:r>
      <w:r w:rsidR="007F0806" w:rsidRPr="000950A0">
        <w:rPr>
          <w:rFonts w:eastAsia="Calibri"/>
        </w:rPr>
        <w:t>Tiếp tục kết nối, hỗ trợ các chủ thể tăng cường quảng bá, giới thiệu sản phẩm OCOP tại các sự kiện, lễ hội trong và ngoài tỉnh trong những tháng đầu năm; triển khai Kế hoạch phát triển sản phẩ</w:t>
      </w:r>
      <w:r w:rsidR="007F0806">
        <w:rPr>
          <w:rFonts w:eastAsia="Calibri"/>
        </w:rPr>
        <w:t>m OCOP năm 2025. T</w:t>
      </w:r>
      <w:r w:rsidR="007F0806" w:rsidRPr="000950A0">
        <w:rPr>
          <w:rFonts w:eastAsia="Calibri"/>
        </w:rPr>
        <w:t xml:space="preserve">oàn Huyện </w:t>
      </w:r>
      <w:r w:rsidR="007F0806">
        <w:rPr>
          <w:rFonts w:eastAsia="Calibri"/>
        </w:rPr>
        <w:t xml:space="preserve">hiện có </w:t>
      </w:r>
      <w:r w:rsidR="007F0806" w:rsidRPr="000950A0">
        <w:rPr>
          <w:rFonts w:eastAsia="Calibri"/>
        </w:rPr>
        <w:t xml:space="preserve">có 25 sản phẩm được công nhận sản phẩm OCOP từ 3 sao trở lên </w:t>
      </w:r>
      <w:r w:rsidR="007F0806" w:rsidRPr="00643D8B">
        <w:rPr>
          <w:rFonts w:eastAsia="Calibri"/>
          <w:i/>
          <w:iCs/>
        </w:rPr>
        <w:t>(02 sản phẩm 4 sao, 23 sản phẩm 3 sao)</w:t>
      </w:r>
      <w:r w:rsidR="007F0806" w:rsidRPr="000950A0">
        <w:rPr>
          <w:rFonts w:eastAsia="Calibri"/>
        </w:rPr>
        <w:t xml:space="preserve"> của 12 chủ thể.</w:t>
      </w:r>
      <w:r w:rsidR="00DC0A60" w:rsidRPr="00DC0A60">
        <w:rPr>
          <w:rFonts w:eastAsia="Calibri"/>
        </w:rPr>
        <w:t xml:space="preserve"> Triển khai Kế hoạch phát triển sản phẩm OCOP năm 2025,</w:t>
      </w:r>
      <w:r w:rsidR="00DC0A60" w:rsidRPr="00DC0A60">
        <w:rPr>
          <w:sz w:val="24"/>
          <w:szCs w:val="24"/>
        </w:rPr>
        <w:t xml:space="preserve"> </w:t>
      </w:r>
      <w:r w:rsidR="00DC0A60" w:rsidRPr="00DC0A60">
        <w:rPr>
          <w:rFonts w:eastAsia="Calibri"/>
        </w:rPr>
        <w:t xml:space="preserve">qua công tác vận động, khuyến khích trên địa bàn các xã, thị trấn có 17 sản phẩm tham gia Chương trình OCOP năm 2025 </w:t>
      </w:r>
      <w:r w:rsidR="00DC0A60" w:rsidRPr="00DC0A60">
        <w:rPr>
          <w:rFonts w:eastAsia="Calibri"/>
          <w:i/>
        </w:rPr>
        <w:t>(trong đó, có 06 sản phẩm dự thi đánh giá công nhận lại sản phẩm đạt sao OCOP sau 3 năm và 11 sản phẩm tham gia đánh giá lần đầu).</w:t>
      </w:r>
    </w:p>
    <w:p w14:paraId="1183778B" w14:textId="618E512A" w:rsidR="005A1458" w:rsidRPr="00595663" w:rsidRDefault="003B38D2" w:rsidP="00595663">
      <w:pPr>
        <w:widowControl w:val="0"/>
        <w:tabs>
          <w:tab w:val="left" w:pos="6120"/>
          <w:tab w:val="left" w:pos="8228"/>
        </w:tabs>
        <w:spacing w:before="120" w:after="120" w:line="360" w:lineRule="exact"/>
        <w:ind w:firstLine="567"/>
        <w:jc w:val="both"/>
        <w:rPr>
          <w:rFonts w:eastAsia="Calibri"/>
        </w:rPr>
      </w:pPr>
      <w:r w:rsidRPr="00417A29">
        <w:rPr>
          <w:i/>
          <w:spacing w:val="-6"/>
          <w:szCs w:val="24"/>
          <w:lang w:val="nl-NL"/>
        </w:rPr>
        <w:t>-</w:t>
      </w:r>
      <w:r w:rsidR="00B504FD" w:rsidRPr="00417A29">
        <w:rPr>
          <w:i/>
          <w:spacing w:val="-6"/>
          <w:szCs w:val="24"/>
          <w:lang w:val="nl-NL"/>
        </w:rPr>
        <w:t xml:space="preserve"> Nhân rộng</w:t>
      </w:r>
      <w:r w:rsidR="00B504FD" w:rsidRPr="00417A29">
        <w:rPr>
          <w:i/>
          <w:spacing w:val="-6"/>
          <w:szCs w:val="24"/>
          <w:lang w:val="af-ZA"/>
        </w:rPr>
        <w:t xml:space="preserve"> mô hình sản xuất nông nghiệp hiệu quả</w:t>
      </w:r>
      <w:r w:rsidR="00B504FD" w:rsidRPr="00417A29">
        <w:rPr>
          <w:i/>
          <w:spacing w:val="-6"/>
          <w:szCs w:val="24"/>
          <w:lang w:val="nl-NL"/>
        </w:rPr>
        <w:t xml:space="preserve"> và chuyển đổi số trong nông nghiệp</w:t>
      </w:r>
      <w:r w:rsidRPr="00417A29">
        <w:rPr>
          <w:i/>
          <w:spacing w:val="-6"/>
          <w:szCs w:val="24"/>
          <w:lang w:val="nl-NL"/>
        </w:rPr>
        <w:t xml:space="preserve">: </w:t>
      </w:r>
      <w:r w:rsidR="00595663" w:rsidRPr="00595663">
        <w:rPr>
          <w:rFonts w:eastAsia="MS Mincho"/>
          <w:bCs/>
          <w:iCs/>
          <w:lang w:val="nl-NL"/>
        </w:rPr>
        <w:t xml:space="preserve">Trên địa bàn Huyện </w:t>
      </w:r>
      <w:r w:rsidR="008C29A5" w:rsidRPr="008C29A5">
        <w:rPr>
          <w:rFonts w:eastAsia="Calibri"/>
          <w:color w:val="000000"/>
        </w:rPr>
        <w:t>có 63 mã số vùng trồng/17.810,77 ha (</w:t>
      </w:r>
      <w:r w:rsidR="008C29A5" w:rsidRPr="008C29A5">
        <w:rPr>
          <w:rFonts w:eastAsia="Calibri"/>
          <w:i/>
          <w:color w:val="000000"/>
        </w:rPr>
        <w:t>gồm 58 vùng trồng lúa diện tích 17.738,07 ha và 05 vùng trồng cây ăn trái diện tích 72,7 ha)</w:t>
      </w:r>
      <w:r w:rsidR="00595663" w:rsidRPr="00595663">
        <w:rPr>
          <w:rFonts w:eastAsia="MS Mincho"/>
          <w:bCs/>
          <w:iCs/>
          <w:lang w:val="nl-NL"/>
        </w:rPr>
        <w:t>, trong đó, có 03 mã số vùng trồng được phê duyệt xuất khẩu sang Trung Quốc</w:t>
      </w:r>
      <w:r w:rsidR="00595663" w:rsidRPr="00595663">
        <w:rPr>
          <w:rFonts w:eastAsia="MS Mincho"/>
          <w:bCs/>
          <w:iCs/>
          <w:vertAlign w:val="superscript"/>
          <w:lang w:val="nl-NL"/>
        </w:rPr>
        <w:footnoteReference w:id="5"/>
      </w:r>
      <w:r w:rsidR="00595663" w:rsidRPr="00595663">
        <w:rPr>
          <w:rFonts w:eastAsia="MS Mincho"/>
          <w:bCs/>
          <w:iCs/>
          <w:lang w:val="nl-NL"/>
        </w:rPr>
        <w:t xml:space="preserve">. Diện tích lúa sản xuất theo tiêu chuẩn VietGAP luỹ kế đến nay đạt 550 ha </w:t>
      </w:r>
      <w:r w:rsidR="00595663" w:rsidRPr="00595663">
        <w:rPr>
          <w:rFonts w:eastAsia="MS Mincho"/>
          <w:bCs/>
          <w:i/>
          <w:iCs/>
          <w:lang w:val="nl-NL"/>
        </w:rPr>
        <w:t>(so cùng kỳ tăng 317 ha)</w:t>
      </w:r>
      <w:r w:rsidR="00A6457F" w:rsidRPr="00417A29">
        <w:rPr>
          <w:rFonts w:eastAsia="SimSun"/>
          <w:spacing w:val="-6"/>
          <w:lang w:eastAsia="zh-CN"/>
        </w:rPr>
        <w:t>.</w:t>
      </w:r>
      <w:r w:rsidR="0048414A" w:rsidRPr="00417A29">
        <w:rPr>
          <w:spacing w:val="-6"/>
        </w:rPr>
        <w:t xml:space="preserve"> </w:t>
      </w:r>
      <w:r w:rsidR="0048414A" w:rsidRPr="00417A29">
        <w:rPr>
          <w:rFonts w:eastAsia="SimSun"/>
          <w:spacing w:val="-6"/>
          <w:lang w:eastAsia="zh-CN"/>
        </w:rPr>
        <w:t>Tiếp tục phối hợp các địa phương trong chỉ đạo việc thống kê, báo cáo định kỳ ngành nông nghiệp và phát triển nông thôn qua nền tảng dữ liệu số ngành nông nghiệp.</w:t>
      </w:r>
    </w:p>
    <w:p w14:paraId="7D78428E" w14:textId="65037D7C" w:rsidR="00733C1E" w:rsidRDefault="009915E9" w:rsidP="00733C1E">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spacing w:val="4"/>
        </w:rPr>
      </w:pPr>
      <w:r w:rsidRPr="00877BF3">
        <w:rPr>
          <w:i/>
          <w:spacing w:val="4"/>
        </w:rPr>
        <w:t>b</w:t>
      </w:r>
      <w:r w:rsidR="00CF631D" w:rsidRPr="00877BF3">
        <w:rPr>
          <w:i/>
          <w:spacing w:val="4"/>
        </w:rPr>
        <w:t>)</w:t>
      </w:r>
      <w:r w:rsidR="007751C9" w:rsidRPr="00877BF3">
        <w:rPr>
          <w:i/>
          <w:spacing w:val="4"/>
        </w:rPr>
        <w:t xml:space="preserve"> </w:t>
      </w:r>
      <w:r w:rsidR="00BA5065" w:rsidRPr="00877BF3">
        <w:rPr>
          <w:i/>
          <w:spacing w:val="4"/>
        </w:rPr>
        <w:t>Thương mại - dịch vụ</w:t>
      </w:r>
      <w:r w:rsidR="00352EB7" w:rsidRPr="00877BF3">
        <w:rPr>
          <w:i/>
          <w:spacing w:val="4"/>
        </w:rPr>
        <w:t xml:space="preserve">: </w:t>
      </w:r>
      <w:r w:rsidR="00D361ED" w:rsidRPr="003122C0">
        <w:rPr>
          <w:spacing w:val="4"/>
        </w:rPr>
        <w:t xml:space="preserve">Các hoạt động thương mại và dịch vụ tiếp tục được duy trì ổn định. </w:t>
      </w:r>
      <w:r w:rsidR="0015416A" w:rsidRPr="003122C0">
        <w:rPr>
          <w:spacing w:val="4"/>
        </w:rPr>
        <w:t>Trong tháng,</w:t>
      </w:r>
      <w:r w:rsidR="00E72110" w:rsidRPr="003122C0">
        <w:rPr>
          <w:spacing w:val="4"/>
        </w:rPr>
        <w:t xml:space="preserve"> </w:t>
      </w:r>
      <w:r w:rsidR="005C4E12" w:rsidRPr="003122C0">
        <w:rPr>
          <w:spacing w:val="4"/>
        </w:rPr>
        <w:t xml:space="preserve">có </w:t>
      </w:r>
      <w:r w:rsidR="005A17F4">
        <w:rPr>
          <w:spacing w:val="4"/>
        </w:rPr>
        <w:t>40</w:t>
      </w:r>
      <w:r w:rsidR="005C4E12" w:rsidRPr="003122C0">
        <w:rPr>
          <w:spacing w:val="4"/>
        </w:rPr>
        <w:t xml:space="preserve"> </w:t>
      </w:r>
      <w:r w:rsidR="00E72110" w:rsidRPr="003122C0">
        <w:rPr>
          <w:spacing w:val="4"/>
        </w:rPr>
        <w:t>hộ</w:t>
      </w:r>
      <w:r w:rsidR="0015416A" w:rsidRPr="003122C0">
        <w:rPr>
          <w:spacing w:val="4"/>
        </w:rPr>
        <w:t xml:space="preserve"> đăng ký kinh doanh mới</w:t>
      </w:r>
      <w:r w:rsidR="00E72110" w:rsidRPr="003122C0">
        <w:rPr>
          <w:spacing w:val="4"/>
        </w:rPr>
        <w:t xml:space="preserve">, với tổng vốn đăng ký </w:t>
      </w:r>
      <w:r w:rsidR="005A17F4">
        <w:rPr>
          <w:spacing w:val="4"/>
        </w:rPr>
        <w:t>2,7</w:t>
      </w:r>
      <w:r w:rsidR="00816810" w:rsidRPr="003122C0">
        <w:rPr>
          <w:spacing w:val="4"/>
        </w:rPr>
        <w:t xml:space="preserve"> </w:t>
      </w:r>
      <w:r w:rsidR="005A17F4">
        <w:rPr>
          <w:spacing w:val="4"/>
        </w:rPr>
        <w:t>tỷ</w:t>
      </w:r>
      <w:r w:rsidR="00E72110" w:rsidRPr="003122C0">
        <w:rPr>
          <w:spacing w:val="4"/>
        </w:rPr>
        <w:t xml:space="preserve"> đồng</w:t>
      </w:r>
      <w:r w:rsidR="005C4E12" w:rsidRPr="003122C0">
        <w:rPr>
          <w:spacing w:val="4"/>
        </w:rPr>
        <w:t>. Lỹ kế từ đầu năm đến nay có</w:t>
      </w:r>
      <w:r w:rsidR="001F5A53" w:rsidRPr="003122C0">
        <w:rPr>
          <w:spacing w:val="4"/>
        </w:rPr>
        <w:t xml:space="preserve"> </w:t>
      </w:r>
      <w:r w:rsidR="005A17F4">
        <w:rPr>
          <w:spacing w:val="4"/>
        </w:rPr>
        <w:t>137</w:t>
      </w:r>
      <w:r w:rsidR="005C4E12" w:rsidRPr="003122C0">
        <w:rPr>
          <w:spacing w:val="4"/>
        </w:rPr>
        <w:t xml:space="preserve"> hộ đăng ký kinh doanh mới, với tổng vốn đăng ký </w:t>
      </w:r>
      <w:r w:rsidR="005A17F4">
        <w:rPr>
          <w:spacing w:val="4"/>
        </w:rPr>
        <w:t>10,899</w:t>
      </w:r>
      <w:r w:rsidR="005C4E12" w:rsidRPr="003122C0">
        <w:rPr>
          <w:spacing w:val="4"/>
        </w:rPr>
        <w:t xml:space="preserve"> </w:t>
      </w:r>
      <w:r w:rsidR="005A17F4">
        <w:rPr>
          <w:spacing w:val="4"/>
        </w:rPr>
        <w:t>tỷ</w:t>
      </w:r>
      <w:r w:rsidR="005C4E12" w:rsidRPr="003122C0">
        <w:rPr>
          <w:spacing w:val="4"/>
        </w:rPr>
        <w:t xml:space="preserve"> đồng.</w:t>
      </w:r>
    </w:p>
    <w:p w14:paraId="3E8E1710" w14:textId="36FFE6A8" w:rsidR="00733C1E" w:rsidRDefault="009915E9" w:rsidP="00733C1E">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8D5E09">
        <w:rPr>
          <w:i/>
        </w:rPr>
        <w:t>c</w:t>
      </w:r>
      <w:r w:rsidRPr="008D5E09">
        <w:rPr>
          <w:i/>
          <w:lang w:val="vi-VN"/>
        </w:rPr>
        <w:t>) Tình hình đăng ký doanh nghiệp</w:t>
      </w:r>
    </w:p>
    <w:p w14:paraId="2C21DFCA" w14:textId="77777777" w:rsidR="001F79D3" w:rsidRDefault="00B4515A" w:rsidP="001F79D3">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spacing w:val="3"/>
          <w:shd w:val="clear" w:color="auto" w:fill="FFFFFF"/>
        </w:rPr>
      </w:pPr>
      <w:bookmarkStart w:id="5" w:name="_Hlk190723139"/>
      <w:r>
        <w:rPr>
          <w:spacing w:val="3"/>
          <w:shd w:val="clear" w:color="auto" w:fill="FFFFFF"/>
        </w:rPr>
        <w:t>Để t</w:t>
      </w:r>
      <w:r w:rsidRPr="00B4515A">
        <w:rPr>
          <w:spacing w:val="3"/>
          <w:shd w:val="clear" w:color="auto" w:fill="FFFFFF"/>
        </w:rPr>
        <w:t xml:space="preserve">riển khai có hiệu quả các hoạt động xúc tiến đầu tư, giới thiệu tiềm năng và cơ hội đầu tư vào </w:t>
      </w:r>
      <w:r>
        <w:rPr>
          <w:spacing w:val="3"/>
          <w:shd w:val="clear" w:color="auto" w:fill="FFFFFF"/>
        </w:rPr>
        <w:t>Huyện</w:t>
      </w:r>
      <w:r w:rsidRPr="00B4515A">
        <w:rPr>
          <w:spacing w:val="3"/>
          <w:shd w:val="clear" w:color="auto" w:fill="FFFFFF"/>
        </w:rPr>
        <w:t xml:space="preserve"> đến các doanh nghiệp, nhà đầu tư; chủ động tìm kiếm, tiếp xúc các nhà đầu tư tiềm năng để thu hút đầu tư.</w:t>
      </w:r>
      <w:r>
        <w:rPr>
          <w:spacing w:val="3"/>
          <w:shd w:val="clear" w:color="auto" w:fill="FFFFFF"/>
        </w:rPr>
        <w:t xml:space="preserve"> Ngày</w:t>
      </w:r>
      <w:r w:rsidRPr="00B4515A">
        <w:rPr>
          <w:spacing w:val="3"/>
          <w:shd w:val="clear" w:color="auto" w:fill="FFFFFF"/>
        </w:rPr>
        <w:t xml:space="preserve"> 04/02/2025</w:t>
      </w:r>
      <w:r>
        <w:rPr>
          <w:spacing w:val="3"/>
          <w:shd w:val="clear" w:color="auto" w:fill="FFFFFF"/>
        </w:rPr>
        <w:t>, Ủy ban nhân dân Huyện ban hành Quyết định số</w:t>
      </w:r>
      <w:r w:rsidRPr="00B4515A">
        <w:rPr>
          <w:spacing w:val="3"/>
          <w:shd w:val="clear" w:color="auto" w:fill="FFFFFF"/>
        </w:rPr>
        <w:t xml:space="preserve"> 14/QĐ-UBND.TL </w:t>
      </w:r>
      <w:r>
        <w:rPr>
          <w:spacing w:val="3"/>
          <w:shd w:val="clear" w:color="auto" w:fill="FFFFFF"/>
        </w:rPr>
        <w:t>v</w:t>
      </w:r>
      <w:r w:rsidRPr="00B4515A">
        <w:rPr>
          <w:spacing w:val="3"/>
          <w:shd w:val="clear" w:color="auto" w:fill="FFFFFF"/>
        </w:rPr>
        <w:t>ề việc thành lập Tổ Xúc tiến kêu gọi, hỗ trợ đầu tư, hỗ trợ và phát triển doanh nghiệp trên địa bàn huyện Tân Hồng</w:t>
      </w:r>
      <w:bookmarkEnd w:id="5"/>
      <w:r>
        <w:rPr>
          <w:spacing w:val="3"/>
          <w:shd w:val="clear" w:color="auto" w:fill="FFFFFF"/>
        </w:rPr>
        <w:t>.</w:t>
      </w:r>
    </w:p>
    <w:p w14:paraId="1EF16EA4" w14:textId="1BF621B8" w:rsidR="00167F38" w:rsidRPr="007A38C9" w:rsidRDefault="00167F38" w:rsidP="00417A29">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spacing w:val="-4"/>
          <w:shd w:val="clear" w:color="auto" w:fill="FFFFFF"/>
        </w:rPr>
      </w:pPr>
      <w:r w:rsidRPr="007A38C9">
        <w:rPr>
          <w:rFonts w:eastAsia="Calibri"/>
          <w:i/>
          <w:iCs/>
          <w:spacing w:val="-4"/>
        </w:rPr>
        <w:t>- Về đăng ký kinh doanh:</w:t>
      </w:r>
      <w:r w:rsidRPr="007A38C9">
        <w:rPr>
          <w:rFonts w:eastAsia="Calibri"/>
          <w:spacing w:val="-4"/>
        </w:rPr>
        <w:t xml:space="preserve"> </w:t>
      </w:r>
      <w:r w:rsidR="005A17F4">
        <w:rPr>
          <w:rFonts w:eastAsia="Calibri"/>
          <w:spacing w:val="-4"/>
        </w:rPr>
        <w:t>Trong tháng có 03 doanh nghiệp thành lập mới</w:t>
      </w:r>
      <w:r w:rsidRPr="007A38C9">
        <w:rPr>
          <w:rFonts w:eastAsia="Calibri"/>
          <w:spacing w:val="-4"/>
        </w:rPr>
        <w:t xml:space="preserve">, </w:t>
      </w:r>
      <w:r w:rsidR="005A17F4">
        <w:rPr>
          <w:rFonts w:eastAsia="Calibri"/>
          <w:spacing w:val="-4"/>
        </w:rPr>
        <w:t xml:space="preserve">lỹ kế từ đầu năm đến nay có 10 doanh nghiệp thành lập mới </w:t>
      </w:r>
      <w:r w:rsidRPr="007A38C9">
        <w:rPr>
          <w:rFonts w:eastAsia="Calibri"/>
          <w:spacing w:val="-4"/>
        </w:rPr>
        <w:t xml:space="preserve">với tổng vốn đăng ký </w:t>
      </w:r>
      <w:r w:rsidR="005A17F4">
        <w:rPr>
          <w:rFonts w:eastAsia="Calibri"/>
          <w:spacing w:val="-4"/>
        </w:rPr>
        <w:t>32,740</w:t>
      </w:r>
      <w:r w:rsidRPr="007A38C9">
        <w:rPr>
          <w:rFonts w:eastAsia="Calibri"/>
          <w:spacing w:val="-4"/>
        </w:rPr>
        <w:t xml:space="preserve"> tỷ đồng, đạt </w:t>
      </w:r>
      <w:r w:rsidR="005A17F4">
        <w:rPr>
          <w:rFonts w:eastAsia="Calibri"/>
          <w:spacing w:val="-4"/>
        </w:rPr>
        <w:t>31</w:t>
      </w:r>
      <w:r w:rsidRPr="007A38C9">
        <w:rPr>
          <w:rFonts w:eastAsia="Calibri"/>
          <w:spacing w:val="-4"/>
        </w:rPr>
        <w:t xml:space="preserve">% kế hoạch </w:t>
      </w:r>
      <w:r w:rsidRPr="007A38C9">
        <w:rPr>
          <w:rFonts w:eastAsia="Calibri"/>
          <w:i/>
          <w:spacing w:val="-4"/>
        </w:rPr>
        <w:t xml:space="preserve">(kế hoạch thành lập mới là </w:t>
      </w:r>
      <w:r w:rsidR="0063090C" w:rsidRPr="007A38C9">
        <w:rPr>
          <w:rFonts w:eastAsia="Calibri"/>
          <w:i/>
          <w:spacing w:val="-4"/>
        </w:rPr>
        <w:t>31</w:t>
      </w:r>
      <w:r w:rsidRPr="007A38C9">
        <w:rPr>
          <w:rFonts w:eastAsia="Calibri"/>
          <w:i/>
          <w:spacing w:val="-4"/>
        </w:rPr>
        <w:t xml:space="preserve"> doanh nghiệp);</w:t>
      </w:r>
      <w:r w:rsidRPr="007A38C9">
        <w:rPr>
          <w:rFonts w:eastAsia="Calibri"/>
          <w:spacing w:val="-4"/>
        </w:rPr>
        <w:t xml:space="preserve"> giải thể là </w:t>
      </w:r>
      <w:r w:rsidR="00417A29" w:rsidRPr="007A38C9">
        <w:rPr>
          <w:rFonts w:eastAsia="Calibri"/>
          <w:spacing w:val="-4"/>
        </w:rPr>
        <w:t>01</w:t>
      </w:r>
      <w:r w:rsidRPr="007A38C9">
        <w:rPr>
          <w:rFonts w:eastAsia="Calibri"/>
          <w:spacing w:val="-4"/>
        </w:rPr>
        <w:t xml:space="preserve"> doanh nghiệ</w:t>
      </w:r>
      <w:r w:rsidR="00417A29" w:rsidRPr="007A38C9">
        <w:rPr>
          <w:rFonts w:eastAsia="Calibri"/>
          <w:spacing w:val="-4"/>
        </w:rPr>
        <w:t xml:space="preserve">p, tạm ngưng hoạt động 21 doanh nghiệp và </w:t>
      </w:r>
      <w:r w:rsidRPr="007A38C9">
        <w:rPr>
          <w:rFonts w:eastAsia="Calibri"/>
          <w:spacing w:val="-4"/>
        </w:rPr>
        <w:t xml:space="preserve">tái hoạt động </w:t>
      </w:r>
      <w:r w:rsidR="00417A29" w:rsidRPr="007A38C9">
        <w:rPr>
          <w:rFonts w:eastAsia="Calibri"/>
          <w:spacing w:val="-4"/>
        </w:rPr>
        <w:t>06</w:t>
      </w:r>
      <w:r w:rsidR="001F79D3" w:rsidRPr="007A38C9">
        <w:rPr>
          <w:rFonts w:eastAsia="Calibri"/>
          <w:spacing w:val="-4"/>
        </w:rPr>
        <w:t xml:space="preserve"> </w:t>
      </w:r>
      <w:r w:rsidRPr="007A38C9">
        <w:rPr>
          <w:rFonts w:eastAsia="Calibri"/>
          <w:spacing w:val="-4"/>
        </w:rPr>
        <w:t xml:space="preserve">doanh nghiệp. Tổng số doanh nghiệp đang hoạt động trên địa bàn </w:t>
      </w:r>
      <w:r w:rsidR="005912F6" w:rsidRPr="007A38C9">
        <w:rPr>
          <w:rFonts w:eastAsia="Calibri"/>
          <w:spacing w:val="-4"/>
        </w:rPr>
        <w:t xml:space="preserve">Huyện </w:t>
      </w:r>
      <w:r w:rsidRPr="007A38C9">
        <w:rPr>
          <w:rFonts w:eastAsia="Calibri"/>
          <w:spacing w:val="-4"/>
        </w:rPr>
        <w:t xml:space="preserve">ước khoảng hơn </w:t>
      </w:r>
      <w:r w:rsidR="00417A29" w:rsidRPr="007A38C9">
        <w:rPr>
          <w:rFonts w:eastAsia="Calibri"/>
          <w:spacing w:val="-4"/>
        </w:rPr>
        <w:t>2</w:t>
      </w:r>
      <w:r w:rsidR="005A17F4">
        <w:rPr>
          <w:rFonts w:eastAsia="Calibri"/>
          <w:spacing w:val="-4"/>
        </w:rPr>
        <w:t>32</w:t>
      </w:r>
      <w:r w:rsidRPr="007A38C9">
        <w:rPr>
          <w:rFonts w:eastAsia="Calibri"/>
          <w:spacing w:val="-4"/>
        </w:rPr>
        <w:t xml:space="preserve"> doanh nghiệp.</w:t>
      </w:r>
      <w:r w:rsidR="005A17F4">
        <w:rPr>
          <w:rFonts w:eastAsia="Calibri"/>
          <w:spacing w:val="-4"/>
        </w:rPr>
        <w:t xml:space="preserve"> </w:t>
      </w:r>
    </w:p>
    <w:p w14:paraId="2E242C6E" w14:textId="475490DA" w:rsidR="00167F38" w:rsidRPr="00DC0A60" w:rsidRDefault="00167F38" w:rsidP="00DC0A60">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spacing w:val="4"/>
        </w:rPr>
      </w:pPr>
      <w:r w:rsidRPr="00DC0A60">
        <w:rPr>
          <w:rFonts w:eastAsia="Calibri"/>
          <w:i/>
          <w:iCs/>
          <w:spacing w:val="4"/>
        </w:rPr>
        <w:t>- Về thu hút dự án đầu tư tư nhân:</w:t>
      </w:r>
      <w:r w:rsidRPr="00DC0A60">
        <w:rPr>
          <w:rFonts w:eastAsia="Calibri"/>
          <w:spacing w:val="4"/>
        </w:rPr>
        <w:t xml:space="preserve"> Tiếp tục </w:t>
      </w:r>
      <w:r w:rsidR="00DC0A60" w:rsidRPr="00DC0A60">
        <w:rPr>
          <w:rFonts w:eastAsia="Calibri"/>
          <w:spacing w:val="4"/>
        </w:rPr>
        <w:t xml:space="preserve">hỗ trợ nhà đầu tư </w:t>
      </w:r>
      <w:r w:rsidRPr="00DC0A60">
        <w:rPr>
          <w:rFonts w:eastAsia="Calibri"/>
          <w:spacing w:val="4"/>
        </w:rPr>
        <w:t xml:space="preserve">triển khai các </w:t>
      </w:r>
      <w:r w:rsidR="00DC0A60" w:rsidRPr="00DC0A60">
        <w:rPr>
          <w:rFonts w:eastAsia="Calibri"/>
          <w:spacing w:val="4"/>
        </w:rPr>
        <w:t xml:space="preserve">bước tiếp theo các </w:t>
      </w:r>
      <w:r w:rsidRPr="00DC0A60">
        <w:rPr>
          <w:rFonts w:eastAsia="Calibri"/>
          <w:spacing w:val="4"/>
        </w:rPr>
        <w:t xml:space="preserve">dự án đã được UBND Tỉnh chấp thuận nhà đầu tư như: </w:t>
      </w:r>
      <w:r w:rsidR="00CD3149" w:rsidRPr="00DC0A60">
        <w:rPr>
          <w:rFonts w:eastAsia="Calibri"/>
          <w:spacing w:val="4"/>
        </w:rPr>
        <w:t>dự án Xây dựng kho lạnh và nhà máy chế biến thuỷ sản TH3 của Công ty Cổ phần 3 Đời Tân Hồng, Cụm nhà máy sấy, xay xát, lau bóng gạo và hệ thống kho chứa Công ty TNHH ADC</w:t>
      </w:r>
      <w:r w:rsidRPr="00DC0A60">
        <w:rPr>
          <w:rFonts w:eastAsia="Calibri"/>
          <w:spacing w:val="4"/>
        </w:rPr>
        <w:t xml:space="preserve">. </w:t>
      </w:r>
      <w:r w:rsidR="005C4E12" w:rsidRPr="00DC0A60">
        <w:rPr>
          <w:rFonts w:eastAsia="Calibri"/>
          <w:spacing w:val="4"/>
        </w:rPr>
        <w:t>Từ đ</w:t>
      </w:r>
      <w:r w:rsidRPr="00DC0A60">
        <w:rPr>
          <w:rFonts w:eastAsia="Calibri"/>
          <w:spacing w:val="4"/>
        </w:rPr>
        <w:t>ầ</w:t>
      </w:r>
      <w:r w:rsidR="00DC0A60" w:rsidRPr="00DC0A60">
        <w:rPr>
          <w:rFonts w:eastAsia="Calibri"/>
          <w:spacing w:val="4"/>
        </w:rPr>
        <w:t>u năm</w:t>
      </w:r>
      <w:r w:rsidRPr="00DC0A60">
        <w:rPr>
          <w:rFonts w:eastAsia="Calibri"/>
          <w:spacing w:val="4"/>
        </w:rPr>
        <w:t xml:space="preserve"> đến nay, </w:t>
      </w:r>
      <w:r w:rsidR="005C4E12" w:rsidRPr="00DC0A60">
        <w:rPr>
          <w:rFonts w:eastAsia="Calibri"/>
          <w:spacing w:val="4"/>
        </w:rPr>
        <w:t xml:space="preserve">UBND Huyện đã tham gia </w:t>
      </w:r>
      <w:r w:rsidR="00CD3149" w:rsidRPr="00DC0A60">
        <w:rPr>
          <w:rFonts w:eastAsia="Calibri"/>
          <w:spacing w:val="4"/>
        </w:rPr>
        <w:t>cho ý kiến về 04 dự án: Khu trưng bày và Nhà ở xã hội 3 Đời của Công ty Cổ phần 3 Đời Tân Hồng; Nhà ở xã hội Trần Hân tại huyện Tân Hồng của Công ty Cổ phần Nông nghiệp Trần Hân; Nhà máy chế biến nông sản Trần Hân và Nhà máy chế biến thủy sản Trần Hân tại huyện Tân Hồng của Công ty Cổ phần Nông nghiệp Trần Hân.</w:t>
      </w:r>
    </w:p>
    <w:p w14:paraId="11F8C268" w14:textId="77777777" w:rsidR="00733C1E" w:rsidRPr="009B4FAE" w:rsidRDefault="009915E9" w:rsidP="00733C1E">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9B4FAE">
        <w:rPr>
          <w:b/>
          <w:i/>
          <w:lang w:val="af-ZA"/>
        </w:rPr>
        <w:t xml:space="preserve">2.3. Về một số lĩnh vực xã hội </w:t>
      </w:r>
      <w:bookmarkStart w:id="6" w:name="_Hlk174653220"/>
    </w:p>
    <w:p w14:paraId="10A820BC" w14:textId="77777777" w:rsidR="00733C1E" w:rsidRPr="009B4FAE" w:rsidRDefault="00D679E2" w:rsidP="00733C1E">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9B4FAE">
        <w:rPr>
          <w:i/>
          <w:highlight w:val="white"/>
        </w:rPr>
        <w:t xml:space="preserve">a) </w:t>
      </w:r>
      <w:r w:rsidRPr="009B4FAE">
        <w:rPr>
          <w:i/>
        </w:rPr>
        <w:t>Về lao động, việc làm, an sinh xã hội</w:t>
      </w:r>
    </w:p>
    <w:bookmarkEnd w:id="6"/>
    <w:p w14:paraId="36DB22EF" w14:textId="33F481D1" w:rsidR="00890E13" w:rsidRPr="00890E13" w:rsidRDefault="00E905CA" w:rsidP="00890E13">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Arial"/>
          <w:bCs/>
          <w:i/>
          <w:noProof/>
          <w:lang w:val="en-GB"/>
        </w:rPr>
      </w:pPr>
      <w:r>
        <w:rPr>
          <w:rFonts w:eastAsia="Arial"/>
          <w:bCs/>
          <w:noProof/>
          <w:lang w:val="en-GB"/>
        </w:rPr>
        <w:t xml:space="preserve">- </w:t>
      </w:r>
      <w:r w:rsidR="00595663" w:rsidRPr="00595663">
        <w:rPr>
          <w:rFonts w:eastAsia="Arial"/>
          <w:bCs/>
          <w:noProof/>
          <w:lang w:val="en-GB"/>
        </w:rPr>
        <w:t>T</w:t>
      </w:r>
      <w:r w:rsidR="00595663" w:rsidRPr="00595663">
        <w:rPr>
          <w:rFonts w:eastAsia="Calibri"/>
          <w:noProof/>
          <w:szCs w:val="22"/>
          <w:lang w:val="vi-VN"/>
        </w:rPr>
        <w:t>ập trung chăm lo kịp thời cho các đối tượng chính sách, người có công với cách mạng, hộ nghèo, đối tượng bảo trợ xã hội, trẻ em có hoàn cảnh khó khăn</w:t>
      </w:r>
      <w:r w:rsidR="007A38C9">
        <w:rPr>
          <w:rFonts w:eastAsia="Calibri"/>
          <w:noProof/>
          <w:szCs w:val="22"/>
        </w:rPr>
        <w:t xml:space="preserve"> </w:t>
      </w:r>
      <w:r w:rsidR="00595663" w:rsidRPr="00595663">
        <w:rPr>
          <w:rFonts w:eastAsia="Arial"/>
          <w:bCs/>
          <w:noProof/>
          <w:lang w:val="en-GB"/>
        </w:rPr>
        <w:t xml:space="preserve">và đẩy mạnh triển </w:t>
      </w:r>
      <w:r w:rsidR="00595663" w:rsidRPr="00595663">
        <w:rPr>
          <w:rFonts w:eastAsia="Calibri"/>
          <w:noProof/>
          <w:szCs w:val="22"/>
          <w:lang w:val="vi-VN"/>
        </w:rPr>
        <w:t>thực hiện</w:t>
      </w:r>
      <w:r w:rsidR="00595663" w:rsidRPr="00595663">
        <w:rPr>
          <w:rFonts w:eastAsia="Calibri"/>
          <w:noProof/>
          <w:szCs w:val="22"/>
          <w:lang w:val="en-GB"/>
        </w:rPr>
        <w:t xml:space="preserve"> Chương trình</w:t>
      </w:r>
      <w:r w:rsidR="00595663" w:rsidRPr="00595663">
        <w:rPr>
          <w:rFonts w:eastAsia="Calibri"/>
          <w:noProof/>
          <w:szCs w:val="22"/>
          <w:lang w:val="vi-VN"/>
        </w:rPr>
        <w:t xml:space="preserve"> xoá tạm, nhà dột nát:</w:t>
      </w:r>
      <w:r w:rsidR="00595663" w:rsidRPr="00595663">
        <w:rPr>
          <w:rFonts w:eastAsia="Calibri"/>
          <w:noProof/>
          <w:szCs w:val="22"/>
          <w:lang w:val="en-GB"/>
        </w:rPr>
        <w:t xml:space="preserve"> </w:t>
      </w:r>
      <w:r w:rsidR="00890E13" w:rsidRPr="009F624E">
        <w:rPr>
          <w:rFonts w:eastAsia="Calibri"/>
          <w:noProof/>
          <w:szCs w:val="22"/>
          <w:lang w:val="en-GB"/>
        </w:rPr>
        <w:t>Đ</w:t>
      </w:r>
      <w:r w:rsidR="00DC0A60" w:rsidRPr="009F624E">
        <w:rPr>
          <w:rFonts w:eastAsia="Calibri"/>
          <w:noProof/>
          <w:szCs w:val="22"/>
          <w:lang w:val="en-GB"/>
        </w:rPr>
        <w:t>ối với hộ người có công với cách mạng được hỗ trợ</w:t>
      </w:r>
      <w:r w:rsidR="00890E13" w:rsidRPr="009F624E">
        <w:rPr>
          <w:rFonts w:eastAsia="Calibri"/>
          <w:noProof/>
          <w:szCs w:val="22"/>
          <w:lang w:val="en-GB"/>
        </w:rPr>
        <w:t xml:space="preserve"> là 39 căn </w:t>
      </w:r>
      <w:r w:rsidR="00890E13" w:rsidRPr="009F624E">
        <w:rPr>
          <w:rFonts w:eastAsia="Calibri"/>
          <w:i/>
          <w:iCs/>
          <w:noProof/>
          <w:szCs w:val="22"/>
          <w:lang w:val="en-GB"/>
        </w:rPr>
        <w:t>(</w:t>
      </w:r>
      <w:r w:rsidR="00DC0A60" w:rsidRPr="009F624E">
        <w:rPr>
          <w:rFonts w:eastAsia="Calibri"/>
          <w:i/>
          <w:iCs/>
          <w:noProof/>
          <w:szCs w:val="22"/>
          <w:lang w:val="en-GB"/>
        </w:rPr>
        <w:t>xây dựng mới 14 căn; sửa chữa 25 căn</w:t>
      </w:r>
      <w:r w:rsidR="00890E13" w:rsidRPr="009F624E">
        <w:rPr>
          <w:rFonts w:eastAsia="Calibri"/>
          <w:i/>
          <w:iCs/>
          <w:noProof/>
          <w:szCs w:val="22"/>
          <w:lang w:val="en-GB"/>
        </w:rPr>
        <w:t>)</w:t>
      </w:r>
      <w:r w:rsidR="00890E13" w:rsidRPr="009F624E">
        <w:rPr>
          <w:rFonts w:eastAsia="Calibri"/>
          <w:noProof/>
          <w:szCs w:val="22"/>
          <w:lang w:val="en-GB"/>
        </w:rPr>
        <w:t>,</w:t>
      </w:r>
      <w:r w:rsidR="00DC0A60" w:rsidRPr="009F624E">
        <w:rPr>
          <w:rFonts w:eastAsia="Calibri"/>
          <w:noProof/>
          <w:szCs w:val="22"/>
          <w:lang w:val="en-GB"/>
        </w:rPr>
        <w:t xml:space="preserve"> số khởi công đến thời điểm hiện nay là 39/39 căn, đã hoàn thành, bàn giao và đưa vào sử dụ</w:t>
      </w:r>
      <w:r w:rsidR="00890E13" w:rsidRPr="009F624E">
        <w:rPr>
          <w:rFonts w:eastAsia="Calibri"/>
          <w:noProof/>
          <w:szCs w:val="22"/>
          <w:lang w:val="en-GB"/>
        </w:rPr>
        <w:t>ng</w:t>
      </w:r>
      <w:r w:rsidR="00DC0A60" w:rsidRPr="009F624E">
        <w:rPr>
          <w:rFonts w:eastAsia="Calibri"/>
          <w:noProof/>
          <w:szCs w:val="22"/>
          <w:lang w:val="en-GB"/>
        </w:rPr>
        <w:t xml:space="preserve"> 27 căn </w:t>
      </w:r>
      <w:r w:rsidR="00DC0A60" w:rsidRPr="009F624E">
        <w:rPr>
          <w:rFonts w:eastAsia="Calibri"/>
          <w:i/>
          <w:iCs/>
          <w:noProof/>
          <w:szCs w:val="22"/>
          <w:lang w:val="en-GB"/>
        </w:rPr>
        <w:t>(05 căn xây dựng mới, 22 căn sửa chữa)</w:t>
      </w:r>
      <w:r w:rsidR="00DC0A60" w:rsidRPr="009F624E">
        <w:rPr>
          <w:rFonts w:eastAsia="Calibri"/>
          <w:noProof/>
          <w:szCs w:val="22"/>
          <w:lang w:val="en-GB"/>
        </w:rPr>
        <w:t>, chiếm tỷ lệ 69,23%</w:t>
      </w:r>
      <w:r w:rsidR="00890E13" w:rsidRPr="009F624E">
        <w:rPr>
          <w:rFonts w:eastAsia="Calibri"/>
          <w:noProof/>
          <w:szCs w:val="22"/>
          <w:lang w:val="en-GB"/>
        </w:rPr>
        <w:t xml:space="preserve">. Đối với hộ nghèo, hộ cận nghèo được hỗ trợ là 150 căn, số căn đã khởi công đến thời điểm hiện nay là </w:t>
      </w:r>
      <w:r w:rsidR="00890E13" w:rsidRPr="009F624E">
        <w:rPr>
          <w:bCs/>
          <w:lang w:val="vi-VN"/>
        </w:rPr>
        <w:t xml:space="preserve">125/150 căn </w:t>
      </w:r>
      <w:r w:rsidR="00890E13" w:rsidRPr="009F624E">
        <w:rPr>
          <w:bCs/>
          <w:i/>
          <w:iCs/>
          <w:lang w:val="vi-VN"/>
        </w:rPr>
        <w:t>(xây dựng mới 88 căn, sửa chữa 37 căn)</w:t>
      </w:r>
      <w:r w:rsidR="00890E13" w:rsidRPr="009F624E">
        <w:rPr>
          <w:bCs/>
          <w:lang w:val="vi-VN"/>
        </w:rPr>
        <w:t xml:space="preserve">, đạt 83,33%, đã hoàn thành, bàn giao và đưa vào sử dụng 53/150 căn </w:t>
      </w:r>
      <w:r w:rsidR="00890E13" w:rsidRPr="009F624E">
        <w:rPr>
          <w:bCs/>
          <w:i/>
          <w:iCs/>
          <w:lang w:val="vi-VN"/>
        </w:rPr>
        <w:t xml:space="preserve">(xây dựng mới 34 căn, sửa chữa 19 căn), </w:t>
      </w:r>
      <w:r w:rsidR="00890E13" w:rsidRPr="009F624E">
        <w:rPr>
          <w:bCs/>
          <w:lang w:val="vi-VN"/>
        </w:rPr>
        <w:t>đạt 42,4%</w:t>
      </w:r>
      <w:r w:rsidR="00890E13" w:rsidRPr="009F624E">
        <w:rPr>
          <w:bCs/>
        </w:rPr>
        <w:t>.</w:t>
      </w:r>
    </w:p>
    <w:p w14:paraId="100B45AE" w14:textId="219DDF5D" w:rsidR="005C4E12" w:rsidRPr="00595663" w:rsidRDefault="00E905CA" w:rsidP="00595663">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Arial"/>
          <w:bCs/>
        </w:rPr>
      </w:pPr>
      <w:r>
        <w:rPr>
          <w:rFonts w:eastAsia="Arial"/>
          <w:bCs/>
          <w:noProof/>
          <w:lang w:val="en-GB"/>
        </w:rPr>
        <w:t xml:space="preserve">- </w:t>
      </w:r>
      <w:r w:rsidR="00595663" w:rsidRPr="00595663">
        <w:rPr>
          <w:rFonts w:eastAsia="Arial"/>
          <w:bCs/>
          <w:noProof/>
          <w:lang w:val="en-GB"/>
        </w:rPr>
        <w:t xml:space="preserve">Công tác dạy nghề và giải quyết việc được tập trung chỉ đạo. </w:t>
      </w:r>
      <w:r w:rsidR="00595663" w:rsidRPr="00595663">
        <w:rPr>
          <w:rFonts w:eastAsia="Arial"/>
          <w:bCs/>
          <w:noProof/>
          <w:lang w:val="vi-VN"/>
        </w:rPr>
        <w:t>Từ đầu năm đến nay, tình hình lao động làm việc ở các doanh nghiệp tiếp tục được duy trì ổn định</w:t>
      </w:r>
      <w:r w:rsidR="00595663" w:rsidRPr="00595663">
        <w:rPr>
          <w:rFonts w:eastAsia="Arial"/>
          <w:bCs/>
        </w:rPr>
        <w:t xml:space="preserve">. Giải quyết việc làm trong và ngoài Tỉnh được 920/2.000 lao động, đạt 46% kế hoạch; trong tháng có </w:t>
      </w:r>
      <w:r w:rsidR="00536622">
        <w:rPr>
          <w:rFonts w:eastAsia="Arial"/>
          <w:bCs/>
        </w:rPr>
        <w:t>15</w:t>
      </w:r>
      <w:r w:rsidR="00595663" w:rsidRPr="00595663">
        <w:rPr>
          <w:rFonts w:eastAsia="Arial"/>
          <w:bCs/>
        </w:rPr>
        <w:t xml:space="preserve"> lao động đi làm việc có thời hạn ở nước ngoài; lũy kế từ đầu năm đến nay có có </w:t>
      </w:r>
      <w:r w:rsidR="00536622">
        <w:rPr>
          <w:rFonts w:eastAsia="Arial"/>
          <w:bCs/>
        </w:rPr>
        <w:t>65</w:t>
      </w:r>
      <w:r w:rsidR="00595663" w:rsidRPr="00595663">
        <w:rPr>
          <w:rFonts w:eastAsia="Arial"/>
          <w:bCs/>
        </w:rPr>
        <w:t xml:space="preserve">/100 lao động đi làm việc có thời hạn ở nước ngoài, đạt </w:t>
      </w:r>
      <w:r w:rsidR="00536622">
        <w:rPr>
          <w:rFonts w:eastAsia="Arial"/>
          <w:bCs/>
        </w:rPr>
        <w:t>65</w:t>
      </w:r>
      <w:r w:rsidR="00595663" w:rsidRPr="00595663">
        <w:rPr>
          <w:rFonts w:eastAsia="Arial"/>
          <w:bCs/>
        </w:rPr>
        <w:t>% kế hoạch.</w:t>
      </w:r>
      <w:r w:rsidR="00595663" w:rsidRPr="00595663">
        <w:rPr>
          <w:sz w:val="24"/>
          <w:szCs w:val="24"/>
        </w:rPr>
        <w:t xml:space="preserve"> </w:t>
      </w:r>
    </w:p>
    <w:p w14:paraId="46175730" w14:textId="77777777" w:rsidR="00733C1E" w:rsidRDefault="00D679E2" w:rsidP="00733C1E">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Pr>
          <w:i/>
        </w:rPr>
        <w:t>b</w:t>
      </w:r>
      <w:r w:rsidR="009915E9" w:rsidRPr="008D5E09">
        <w:rPr>
          <w:i/>
          <w:lang w:val="vi-VN"/>
        </w:rPr>
        <w:t>) Về giáo dục</w:t>
      </w:r>
      <w:r w:rsidR="00953BE4" w:rsidRPr="008D5E09">
        <w:rPr>
          <w:i/>
        </w:rPr>
        <w:t xml:space="preserve"> và</w:t>
      </w:r>
      <w:r w:rsidR="009915E9" w:rsidRPr="008D5E09">
        <w:rPr>
          <w:i/>
          <w:lang w:val="vi-VN"/>
        </w:rPr>
        <w:t xml:space="preserve"> đào tạo </w:t>
      </w:r>
    </w:p>
    <w:p w14:paraId="36C370D1" w14:textId="10815181" w:rsidR="00733C1E" w:rsidRPr="00A827B3" w:rsidRDefault="001D6A71" w:rsidP="001F79D3">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color w:val="FF0000"/>
          <w:spacing w:val="-4"/>
        </w:rPr>
      </w:pPr>
      <w:r w:rsidRPr="001D6A71">
        <w:rPr>
          <w:bCs/>
          <w:lang w:val="en-GB" w:eastAsia="en-GB"/>
        </w:rPr>
        <w:t>Tổ chức</w:t>
      </w:r>
      <w:r w:rsidR="009F624E" w:rsidRPr="001D6A71">
        <w:rPr>
          <w:bCs/>
          <w:lang w:val="en-GB" w:eastAsia="en-GB"/>
        </w:rPr>
        <w:t xml:space="preserve"> kiểm tra giữa </w:t>
      </w:r>
      <w:r>
        <w:rPr>
          <w:bCs/>
          <w:lang w:val="en-GB" w:eastAsia="en-GB"/>
        </w:rPr>
        <w:t xml:space="preserve">học </w:t>
      </w:r>
      <w:r w:rsidR="009F624E" w:rsidRPr="001D6A71">
        <w:rPr>
          <w:bCs/>
          <w:lang w:val="en-GB" w:eastAsia="en-GB"/>
        </w:rPr>
        <w:t>kỳ</w:t>
      </w:r>
      <w:r>
        <w:rPr>
          <w:bCs/>
          <w:lang w:val="en-GB" w:eastAsia="en-GB"/>
        </w:rPr>
        <w:t xml:space="preserve"> 2</w:t>
      </w:r>
      <w:r w:rsidR="009F624E" w:rsidRPr="001D6A71">
        <w:rPr>
          <w:bCs/>
          <w:lang w:val="en-GB" w:eastAsia="en-GB"/>
        </w:rPr>
        <w:t xml:space="preserve"> các trường có cấp THCS</w:t>
      </w:r>
      <w:r w:rsidR="009F624E" w:rsidRPr="009F624E">
        <w:rPr>
          <w:bCs/>
          <w:lang w:val="en-GB" w:eastAsia="en-GB"/>
        </w:rPr>
        <w:t>.</w:t>
      </w:r>
      <w:r w:rsidR="009F624E">
        <w:rPr>
          <w:bCs/>
          <w:lang w:val="en-GB" w:eastAsia="en-GB"/>
        </w:rPr>
        <w:t xml:space="preserve"> </w:t>
      </w:r>
      <w:r w:rsidR="00536622" w:rsidRPr="00536622">
        <w:rPr>
          <w:bCs/>
          <w:spacing w:val="-4"/>
          <w:lang w:val="en-GB" w:eastAsia="en-GB"/>
        </w:rPr>
        <w:t xml:space="preserve">Tham dự Hội thi </w:t>
      </w:r>
      <w:r w:rsidR="00536622" w:rsidRPr="00593125">
        <w:rPr>
          <w:bCs/>
          <w:i/>
          <w:iCs/>
          <w:spacing w:val="-4"/>
          <w:lang w:val="en-GB" w:eastAsia="en-GB"/>
        </w:rPr>
        <w:t>“Giáo viên dạy giỏi lớp 1, lớp 2, lớp 3 và môn Tiếng Anh, Tin học năm học 2024 – 2025”</w:t>
      </w:r>
      <w:r w:rsidR="00536622" w:rsidRPr="00536622">
        <w:rPr>
          <w:bCs/>
          <w:spacing w:val="-4"/>
          <w:lang w:val="en-GB" w:eastAsia="en-GB"/>
        </w:rPr>
        <w:t xml:space="preserve"> cấp tiểu học Tỉnh Đồng Tháp</w:t>
      </w:r>
      <w:r w:rsidR="00593125">
        <w:rPr>
          <w:bCs/>
          <w:spacing w:val="-4"/>
          <w:lang w:val="en-GB" w:eastAsia="en-GB"/>
        </w:rPr>
        <w:t>, kết quả</w:t>
      </w:r>
      <w:r w:rsidR="00536622" w:rsidRPr="00536622">
        <w:rPr>
          <w:bCs/>
          <w:spacing w:val="-4"/>
          <w:lang w:val="en-GB" w:eastAsia="en-GB"/>
        </w:rPr>
        <w:t xml:space="preserve"> đạt 5 giáo viên</w:t>
      </w:r>
      <w:r w:rsidR="00A827B3" w:rsidRPr="00A827B3">
        <w:rPr>
          <w:color w:val="000000"/>
          <w:spacing w:val="-4"/>
          <w:lang w:val="en-GB" w:eastAsia="en-GB"/>
        </w:rPr>
        <w:t>.</w:t>
      </w:r>
      <w:r w:rsidR="00536622">
        <w:rPr>
          <w:color w:val="000000"/>
          <w:spacing w:val="-4"/>
          <w:lang w:val="en-GB" w:eastAsia="en-GB"/>
        </w:rPr>
        <w:t xml:space="preserve"> </w:t>
      </w:r>
      <w:r w:rsidR="00536622" w:rsidRPr="00536622">
        <w:rPr>
          <w:color w:val="000000"/>
          <w:spacing w:val="-4"/>
          <w:lang w:val="en-GB" w:eastAsia="en-GB"/>
        </w:rPr>
        <w:t>Tham dự kỳ thi chọn học sinh giỏi lớp 9 cấp tỉnh năm học 2024 – 2025 tại Trường THPT thành phố Hồng Ngự ngày 16/03/2025: đạt 23 giải (</w:t>
      </w:r>
      <w:r w:rsidR="00536622" w:rsidRPr="00593125">
        <w:rPr>
          <w:i/>
          <w:iCs/>
          <w:color w:val="000000"/>
          <w:spacing w:val="-4"/>
          <w:lang w:val="en-GB" w:eastAsia="en-GB"/>
        </w:rPr>
        <w:t>01 giải Nhất, 02 giải Nhì, 07 giải Ba và 13 giải Khuyến khích)</w:t>
      </w:r>
      <w:r w:rsidR="00536622">
        <w:rPr>
          <w:color w:val="000000"/>
          <w:spacing w:val="-4"/>
          <w:lang w:val="en-GB" w:eastAsia="en-GB"/>
        </w:rPr>
        <w:t xml:space="preserve">. </w:t>
      </w:r>
      <w:r w:rsidR="00536622" w:rsidRPr="00536622">
        <w:rPr>
          <w:bCs/>
          <w:lang w:val="en-GB" w:eastAsia="en-GB"/>
        </w:rPr>
        <w:t xml:space="preserve">Tổ chức Ngày hội giao lưu học sinh cấp tiểu học huyện Tân Hồng năm học 2024 </w:t>
      </w:r>
      <w:r w:rsidR="00536622">
        <w:rPr>
          <w:bCs/>
          <w:lang w:val="en-GB" w:eastAsia="en-GB"/>
        </w:rPr>
        <w:t>–</w:t>
      </w:r>
      <w:r w:rsidR="00536622" w:rsidRPr="00536622">
        <w:rPr>
          <w:bCs/>
          <w:lang w:val="en-GB" w:eastAsia="en-GB"/>
        </w:rPr>
        <w:t xml:space="preserve"> 2025</w:t>
      </w:r>
      <w:r w:rsidR="00536622">
        <w:rPr>
          <w:bCs/>
          <w:lang w:val="en-GB" w:eastAsia="en-GB"/>
        </w:rPr>
        <w:t xml:space="preserve">. </w:t>
      </w:r>
    </w:p>
    <w:p w14:paraId="14D118D6" w14:textId="77777777" w:rsidR="00733C1E" w:rsidRDefault="005D6434" w:rsidP="00733C1E">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Pr>
          <w:i/>
        </w:rPr>
        <w:t>d) Chăm sóc sức khỏe N</w:t>
      </w:r>
      <w:r w:rsidR="009915E9" w:rsidRPr="008D5E09">
        <w:rPr>
          <w:i/>
        </w:rPr>
        <w:t>hân dân</w:t>
      </w:r>
    </w:p>
    <w:p w14:paraId="32C3DB32" w14:textId="163CE5BA" w:rsidR="00595663" w:rsidRPr="00595663" w:rsidRDefault="005767BB" w:rsidP="003417A8">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Arial"/>
          <w:bCs/>
          <w:noProof/>
          <w:lang w:val="en-GB"/>
        </w:rPr>
      </w:pPr>
      <w:r w:rsidRPr="005767BB">
        <w:rPr>
          <w:rFonts w:eastAsia="Arial"/>
          <w:bCs/>
          <w:noProof/>
          <w:lang w:val="en-GB"/>
        </w:rPr>
        <w:t xml:space="preserve">Tiếp tục duy trì thực hiện công tác khám và chữa bệnh cho Nhân dân, cụ thể trong tháng có </w:t>
      </w:r>
      <w:r w:rsidR="00691E1E">
        <w:rPr>
          <w:rFonts w:eastAsia="Arial"/>
          <w:bCs/>
          <w:noProof/>
          <w:lang w:val="en-GB"/>
        </w:rPr>
        <w:t>10.514</w:t>
      </w:r>
      <w:r w:rsidRPr="005767BB">
        <w:rPr>
          <w:rFonts w:eastAsia="Arial"/>
          <w:bCs/>
          <w:noProof/>
          <w:lang w:val="en-GB"/>
        </w:rPr>
        <w:t xml:space="preserve"> lượt bệnh nhân đến khám</w:t>
      </w:r>
      <w:r w:rsidR="00691E1E">
        <w:rPr>
          <w:rFonts w:eastAsia="Arial"/>
          <w:bCs/>
          <w:noProof/>
          <w:lang w:val="en-GB"/>
        </w:rPr>
        <w:t xml:space="preserve"> </w:t>
      </w:r>
      <w:r w:rsidR="00691E1E" w:rsidRPr="00691E1E">
        <w:rPr>
          <w:rFonts w:eastAsia="Arial"/>
          <w:bCs/>
          <w:i/>
          <w:noProof/>
          <w:lang w:val="en-GB"/>
        </w:rPr>
        <w:t>(tăng 131 lượt bệnh nhân so với tháng trước)</w:t>
      </w:r>
      <w:r w:rsidRPr="005767BB">
        <w:rPr>
          <w:rFonts w:eastAsia="Arial"/>
          <w:bCs/>
          <w:noProof/>
          <w:lang w:val="en-GB"/>
        </w:rPr>
        <w:t>; trong đó, có</w:t>
      </w:r>
      <w:r w:rsidR="00691E1E">
        <w:rPr>
          <w:rFonts w:eastAsia="Arial"/>
          <w:bCs/>
          <w:noProof/>
          <w:lang w:val="en-GB"/>
        </w:rPr>
        <w:t xml:space="preserve"> 617</w:t>
      </w:r>
      <w:r w:rsidRPr="005767BB">
        <w:rPr>
          <w:rFonts w:eastAsia="Arial"/>
          <w:bCs/>
          <w:noProof/>
          <w:lang w:val="en-GB"/>
        </w:rPr>
        <w:t xml:space="preserve"> người điều trị nội trú</w:t>
      </w:r>
      <w:r>
        <w:rPr>
          <w:rFonts w:eastAsia="Arial"/>
          <w:bCs/>
          <w:noProof/>
          <w:lang w:val="en-GB"/>
        </w:rPr>
        <w:t xml:space="preserve">. </w:t>
      </w:r>
      <w:r w:rsidR="00DD6B83">
        <w:rPr>
          <w:rFonts w:eastAsia="Arial"/>
          <w:bCs/>
          <w:noProof/>
          <w:lang w:val="en-GB"/>
        </w:rPr>
        <w:t>T</w:t>
      </w:r>
      <w:r w:rsidR="00DD6B83" w:rsidRPr="00DD6B83">
        <w:rPr>
          <w:rFonts w:eastAsia="Arial"/>
          <w:bCs/>
          <w:noProof/>
          <w:lang w:val="en-GB"/>
        </w:rPr>
        <w:t xml:space="preserve">hành lập Đoàn kiểm tra liên ngành bảo đảm an toàn thực phẩm trong </w:t>
      </w:r>
      <w:r w:rsidR="00DD6B83" w:rsidRPr="00DD6B83">
        <w:rPr>
          <w:rFonts w:eastAsia="Arial"/>
          <w:bCs/>
          <w:i/>
          <w:noProof/>
          <w:lang w:val="en-GB"/>
        </w:rPr>
        <w:t>“Tháng hành động vì an toàn thực phẩm”</w:t>
      </w:r>
      <w:r w:rsidR="00DD6B83" w:rsidRPr="00DD6B83">
        <w:rPr>
          <w:rFonts w:eastAsia="Arial"/>
          <w:bCs/>
          <w:noProof/>
          <w:lang w:val="en-GB"/>
        </w:rPr>
        <w:t xml:space="preserve"> năm 2025</w:t>
      </w:r>
      <w:r w:rsidR="00DD6B83">
        <w:rPr>
          <w:rFonts w:eastAsia="Arial"/>
          <w:bCs/>
          <w:noProof/>
          <w:lang w:val="en-GB"/>
        </w:rPr>
        <w:t xml:space="preserve"> </w:t>
      </w:r>
      <w:r w:rsidR="00DD6B83" w:rsidRPr="00DD6B83">
        <w:rPr>
          <w:rFonts w:eastAsia="Arial"/>
          <w:bCs/>
          <w:i/>
          <w:noProof/>
          <w:lang w:val="en-GB"/>
        </w:rPr>
        <w:t>(Quyết định số 56/QĐ-UBND.TL ngày 16/04/2025)</w:t>
      </w:r>
      <w:r w:rsidR="00DD6B83">
        <w:rPr>
          <w:rFonts w:eastAsia="Arial"/>
          <w:bCs/>
          <w:noProof/>
          <w:lang w:val="en-GB"/>
        </w:rPr>
        <w:t xml:space="preserve">. </w:t>
      </w:r>
      <w:r w:rsidR="00DD6B83">
        <w:t>C</w:t>
      </w:r>
      <w:r w:rsidR="00DD6B83" w:rsidRPr="004D5E1B">
        <w:t xml:space="preserve">hỉ đạo đẩy nhanh </w:t>
      </w:r>
      <w:r w:rsidR="00DD6B83">
        <w:t xml:space="preserve">công tác </w:t>
      </w:r>
      <w:r w:rsidR="00DD6B83" w:rsidRPr="004D5E1B">
        <w:t>tiêm chủng vắc xin phòng, chống bệnh Sởi trên địa bàn Huyện</w:t>
      </w:r>
      <w:r w:rsidR="00DD6B83">
        <w:rPr>
          <w:rFonts w:eastAsia="Arial"/>
          <w:bCs/>
          <w:noProof/>
          <w:lang w:val="en-GB"/>
        </w:rPr>
        <w:t>. C</w:t>
      </w:r>
      <w:r w:rsidR="00DD6B83" w:rsidRPr="00595663">
        <w:rPr>
          <w:rFonts w:eastAsia="Arial"/>
          <w:bCs/>
          <w:noProof/>
          <w:lang w:val="vi-VN"/>
        </w:rPr>
        <w:t xml:space="preserve">ông tác tuyên truyền, nâng cao nhận thức của người dân về bảo hiểm y tế được quan tâm thực hiện, tỷ lệ dân số tham gia bảo hiểm y tế đạt </w:t>
      </w:r>
      <w:r w:rsidR="00DD6B83">
        <w:rPr>
          <w:rFonts w:eastAsia="Arial"/>
          <w:b/>
          <w:bCs/>
          <w:noProof/>
          <w:lang w:val="vi-VN"/>
        </w:rPr>
        <w:t>98,16</w:t>
      </w:r>
      <w:r w:rsidR="00DD6B83" w:rsidRPr="00595663">
        <w:rPr>
          <w:rFonts w:eastAsia="Arial"/>
          <w:bCs/>
          <w:noProof/>
          <w:lang w:val="vi-VN"/>
        </w:rPr>
        <w:t>%</w:t>
      </w:r>
    </w:p>
    <w:p w14:paraId="2DFF0864" w14:textId="25E22B4C" w:rsidR="00733C1E" w:rsidRPr="007A38C9" w:rsidRDefault="009915E9" w:rsidP="00733C1E">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7A38C9">
        <w:rPr>
          <w:i/>
          <w:iCs/>
          <w:spacing w:val="-6"/>
        </w:rPr>
        <w:t>d) Các hoạt động văn hóa, thể dục thể thao</w:t>
      </w:r>
    </w:p>
    <w:p w14:paraId="6B299B86" w14:textId="23D84298" w:rsidR="009915E9" w:rsidRPr="002C5EA3" w:rsidRDefault="00283D46" w:rsidP="00103FB6">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spacing w:val="2"/>
        </w:rPr>
      </w:pPr>
      <w:r w:rsidRPr="002C5EA3">
        <w:rPr>
          <w:spacing w:val="-4"/>
        </w:rPr>
        <w:t>Tiếp tục thực hiện tốt các hoạt động thông tin, tuyên truyền các hoạt động văn hóa, văn nghệ phục vụ nhu cầu của Nhân dân trên địa bàn Huyện</w:t>
      </w:r>
      <w:r w:rsidRPr="002C5EA3">
        <w:rPr>
          <w:rStyle w:val="FootnoteReference"/>
          <w:spacing w:val="-4"/>
        </w:rPr>
        <w:footnoteReference w:id="6"/>
      </w:r>
      <w:r w:rsidR="00B65C56" w:rsidRPr="002C5EA3">
        <w:rPr>
          <w:spacing w:val="2"/>
        </w:rPr>
        <w:t xml:space="preserve">. </w:t>
      </w:r>
      <w:r w:rsidR="008950CB" w:rsidRPr="002C5EA3">
        <w:rPr>
          <w:spacing w:val="2"/>
        </w:rPr>
        <w:t xml:space="preserve">Xây dựng Kế hoạch Tổ chức các hoạt động kỷ niệm 50 năm Ngày giải phóng miền Nam, thống nhất đất nước (30/4/1975 - 30/4/2025) và Quốc tế lao động 1/5 </w:t>
      </w:r>
      <w:r w:rsidR="008950CB" w:rsidRPr="002C5EA3">
        <w:rPr>
          <w:i/>
          <w:iCs/>
          <w:spacing w:val="2"/>
        </w:rPr>
        <w:t>(Kế hoạch số 141/KH-UBND ngày 18/04/2025)</w:t>
      </w:r>
      <w:r w:rsidR="008950CB" w:rsidRPr="002C5EA3">
        <w:rPr>
          <w:spacing w:val="2"/>
        </w:rPr>
        <w:t xml:space="preserve">. Nghiệm thu, đưa vào sử dụng 03 công trình trùng tu, sửa chữa chùa Phước Thiện, Đình Ngã ba Thông Bình và khu Tượng đài chiến thắng Giồng Thị Đam – Gò Quản Cung. Tổ chức Giải bóng chuyền kỷ niệm 90 năm Ngày truyền thống dân quân tự vệ.  </w:t>
      </w:r>
      <w:r w:rsidR="009915E9" w:rsidRPr="002C5EA3">
        <w:rPr>
          <w:spacing w:val="2"/>
        </w:rPr>
        <w:t xml:space="preserve">Ngoài ra, </w:t>
      </w:r>
      <w:r w:rsidRPr="002C5EA3">
        <w:rPr>
          <w:spacing w:val="2"/>
        </w:rPr>
        <w:t>xây dựng 3</w:t>
      </w:r>
      <w:r w:rsidR="008950CB" w:rsidRPr="002C5EA3">
        <w:rPr>
          <w:spacing w:val="2"/>
        </w:rPr>
        <w:t>0</w:t>
      </w:r>
      <w:r w:rsidRPr="002C5EA3">
        <w:rPr>
          <w:spacing w:val="2"/>
        </w:rPr>
        <w:t xml:space="preserve"> chương trình thời sự địa phương, với 17</w:t>
      </w:r>
      <w:r w:rsidR="008950CB" w:rsidRPr="002C5EA3">
        <w:rPr>
          <w:spacing w:val="2"/>
        </w:rPr>
        <w:t>2</w:t>
      </w:r>
      <w:r w:rsidRPr="002C5EA3">
        <w:rPr>
          <w:spacing w:val="2"/>
        </w:rPr>
        <w:t xml:space="preserve"> tin, bài</w:t>
      </w:r>
      <w:r w:rsidR="008950CB" w:rsidRPr="002C5EA3">
        <w:rPr>
          <w:rStyle w:val="FootnoteReference"/>
          <w:spacing w:val="2"/>
        </w:rPr>
        <w:footnoteReference w:id="7"/>
      </w:r>
      <w:r w:rsidR="008A0986" w:rsidRPr="002C5EA3">
        <w:rPr>
          <w:rStyle w:val="FootnoteReference"/>
          <w:spacing w:val="2"/>
        </w:rPr>
        <w:t xml:space="preserve"> </w:t>
      </w:r>
      <w:r w:rsidRPr="002C5EA3">
        <w:t>;</w:t>
      </w:r>
      <w:r w:rsidRPr="002C5EA3">
        <w:rPr>
          <w:spacing w:val="2"/>
        </w:rPr>
        <w:t xml:space="preserve"> t</w:t>
      </w:r>
      <w:r w:rsidR="009915E9" w:rsidRPr="002C5EA3">
        <w:rPr>
          <w:spacing w:val="2"/>
        </w:rPr>
        <w:t>hực hiện 0</w:t>
      </w:r>
      <w:r w:rsidR="00EE494D" w:rsidRPr="002C5EA3">
        <w:rPr>
          <w:spacing w:val="2"/>
        </w:rPr>
        <w:t>2</w:t>
      </w:r>
      <w:r w:rsidR="009915E9" w:rsidRPr="002C5EA3">
        <w:rPr>
          <w:spacing w:val="2"/>
        </w:rPr>
        <w:t xml:space="preserve"> “Trang tin địa </w:t>
      </w:r>
      <w:r w:rsidRPr="002C5EA3">
        <w:rPr>
          <w:spacing w:val="2"/>
        </w:rPr>
        <w:t xml:space="preserve">phương”, mở thêm Chuyên mục </w:t>
      </w:r>
      <w:r w:rsidRPr="002C5EA3">
        <w:rPr>
          <w:i/>
          <w:spacing w:val="2"/>
        </w:rPr>
        <w:t xml:space="preserve">“Tiến tới Đại hội Đảng bộ các cấp” </w:t>
      </w:r>
      <w:r w:rsidRPr="002C5EA3">
        <w:rPr>
          <w:spacing w:val="2"/>
        </w:rPr>
        <w:t xml:space="preserve">nhiệm kỳ 2025 - 2030 phát vào thứ năm hằng tuần </w:t>
      </w:r>
      <w:r w:rsidR="009915E9" w:rsidRPr="002C5EA3">
        <w:rPr>
          <w:spacing w:val="2"/>
        </w:rPr>
        <w:t xml:space="preserve">và Chuyên mục “Đồng hành cùng nhân dân” tháng </w:t>
      </w:r>
      <w:r w:rsidR="00B65C56" w:rsidRPr="002C5EA3">
        <w:rPr>
          <w:spacing w:val="2"/>
        </w:rPr>
        <w:t>0</w:t>
      </w:r>
      <w:r w:rsidRPr="002C5EA3">
        <w:rPr>
          <w:spacing w:val="2"/>
        </w:rPr>
        <w:t>2</w:t>
      </w:r>
      <w:r w:rsidR="00EE494D" w:rsidRPr="002C5EA3">
        <w:rPr>
          <w:spacing w:val="2"/>
        </w:rPr>
        <w:t xml:space="preserve"> </w:t>
      </w:r>
      <w:r w:rsidR="009915E9" w:rsidRPr="002C5EA3">
        <w:rPr>
          <w:spacing w:val="2"/>
        </w:rPr>
        <w:t>năm 2024</w:t>
      </w:r>
      <w:r w:rsidR="00B65C56" w:rsidRPr="002C5EA3">
        <w:rPr>
          <w:rStyle w:val="FootnoteReference"/>
          <w:spacing w:val="2"/>
        </w:rPr>
        <w:footnoteReference w:id="8"/>
      </w:r>
      <w:r w:rsidR="009915E9" w:rsidRPr="002C5EA3">
        <w:rPr>
          <w:spacing w:val="2"/>
        </w:rPr>
        <w:t>.</w:t>
      </w:r>
    </w:p>
    <w:p w14:paraId="12152B89" w14:textId="77777777" w:rsidR="00520DFA" w:rsidRDefault="009915E9" w:rsidP="00520DF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753AB9">
        <w:rPr>
          <w:i/>
          <w:spacing w:val="-6"/>
        </w:rPr>
        <w:t>e) Về cải cách hành chính, công tác tín ngưỡng, tôn giáo</w:t>
      </w:r>
    </w:p>
    <w:p w14:paraId="6ECBD73E" w14:textId="127B98DF" w:rsidR="00CF749F" w:rsidRDefault="00E905CA" w:rsidP="00520DF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spacing w:val="-4"/>
          <w:lang w:val="nl-NL"/>
        </w:rPr>
      </w:pPr>
      <w:r>
        <w:rPr>
          <w:spacing w:val="-4"/>
        </w:rPr>
        <w:t xml:space="preserve">- </w:t>
      </w:r>
      <w:r w:rsidR="009915E9" w:rsidRPr="00F827DB">
        <w:rPr>
          <w:spacing w:val="-4"/>
        </w:rPr>
        <w:t xml:space="preserve">Công tác cải cách hành chính, tín ngưỡng, tôn giáo, thanh tra, giải quyết khiếu nại, tố cáo và phòng, chống tham nhũng, lãng phí được </w:t>
      </w:r>
      <w:r w:rsidR="000C10C6" w:rsidRPr="00F827DB">
        <w:rPr>
          <w:spacing w:val="-4"/>
        </w:rPr>
        <w:t>Huyện</w:t>
      </w:r>
      <w:r w:rsidR="009915E9" w:rsidRPr="00F827DB">
        <w:rPr>
          <w:spacing w:val="-4"/>
        </w:rPr>
        <w:t xml:space="preserve"> quan tâm chỉ đạo thường xuyên. </w:t>
      </w:r>
      <w:r w:rsidR="00E42B96" w:rsidRPr="005017A1">
        <w:rPr>
          <w:spacing w:val="-4"/>
          <w:lang w:val="nl-NL"/>
        </w:rPr>
        <w:t xml:space="preserve">Trong tháng, </w:t>
      </w:r>
      <w:r w:rsidR="00426E7F" w:rsidRPr="00426E7F">
        <w:rPr>
          <w:spacing w:val="-4"/>
          <w:lang w:val="nl-NL"/>
        </w:rPr>
        <w:t xml:space="preserve">Bộ phận tiếp nhận giải quyết TTHC cấp Huyện tiếp nhận 509 hồ sơ </w:t>
      </w:r>
      <w:r w:rsidR="00426E7F" w:rsidRPr="00426E7F">
        <w:rPr>
          <w:i/>
          <w:spacing w:val="-4"/>
          <w:lang w:val="nl-NL"/>
        </w:rPr>
        <w:t>(trong đó tiếp nhận trực tuyến là 279 hồ sơ, tỷ lệ 54,81% ),</w:t>
      </w:r>
      <w:r w:rsidR="00426E7F" w:rsidRPr="00426E7F">
        <w:rPr>
          <w:spacing w:val="-4"/>
          <w:lang w:val="nl-NL"/>
        </w:rPr>
        <w:t xml:space="preserve"> đã giải quyết và trả kết quả trước, đúng hạn 345 hồ sơ, đạt tỷ lệ 67,77%  hiện tồn 164 hồ sơ chưa đến hẹn</w:t>
      </w:r>
      <w:r w:rsidR="00CF749F">
        <w:rPr>
          <w:spacing w:val="-4"/>
          <w:lang w:val="nl-NL"/>
        </w:rPr>
        <w:t xml:space="preserve">. </w:t>
      </w:r>
      <w:r w:rsidR="00426E7F" w:rsidRPr="00426E7F">
        <w:rPr>
          <w:spacing w:val="-4"/>
          <w:lang w:val="nl-NL"/>
        </w:rPr>
        <w:t xml:space="preserve">Bộ phận tiếp nhận giải quyết TTHC các xã, thị trấn tiếp nhận 2637 hồ sơ </w:t>
      </w:r>
      <w:r w:rsidR="00426E7F" w:rsidRPr="00426E7F">
        <w:rPr>
          <w:i/>
          <w:spacing w:val="-4"/>
          <w:lang w:val="nl-NL"/>
        </w:rPr>
        <w:t>(trong đó tiếp nhận trực tuyến là  2496 hồ sơ, tỷ lệ 94,65%)</w:t>
      </w:r>
      <w:r w:rsidR="00426E7F" w:rsidRPr="00426E7F">
        <w:rPr>
          <w:spacing w:val="-4"/>
          <w:lang w:val="nl-NL"/>
        </w:rPr>
        <w:t>, đã giải quyết và trả kết quả trước, đúng hạn 2519 hồ sơ, đạt tỷ lệ 95,52%, trể hẹn 4, tồn 114 hồ sơ chưa đến hẹn</w:t>
      </w:r>
      <w:r w:rsidR="00CF749F">
        <w:rPr>
          <w:spacing w:val="-4"/>
          <w:lang w:val="nl-NL"/>
        </w:rPr>
        <w:t>.</w:t>
      </w:r>
    </w:p>
    <w:p w14:paraId="7D37745A" w14:textId="70B9CD3A" w:rsidR="00520DFA" w:rsidRDefault="00E905CA" w:rsidP="00520DF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Pr>
          <w:spacing w:val="2"/>
        </w:rPr>
        <w:t xml:space="preserve">- </w:t>
      </w:r>
      <w:r w:rsidR="00603DC4" w:rsidRPr="008D5E09">
        <w:rPr>
          <w:spacing w:val="2"/>
        </w:rPr>
        <w:t xml:space="preserve">Triển khai thực hiện tốt công tác tiếp dân, đối thoại, giải quyết đơn và xử lý những phản ánh, kiến </w:t>
      </w:r>
      <w:r w:rsidR="00603DC4" w:rsidRPr="008D5E09">
        <w:t>nghị của dân được quan tâm, thực hiện.</w:t>
      </w:r>
      <w:r w:rsidR="00603DC4" w:rsidRPr="008D5E09">
        <w:rPr>
          <w:lang w:val="vi-VN"/>
        </w:rPr>
        <w:t xml:space="preserve"> </w:t>
      </w:r>
      <w:r w:rsidR="00603DC4" w:rsidRPr="008D5E09">
        <w:rPr>
          <w:bCs/>
        </w:rPr>
        <w:t>Trong tháng</w:t>
      </w:r>
      <w:r w:rsidR="00603DC4" w:rsidRPr="008D5E09">
        <w:rPr>
          <w:bCs/>
          <w:i/>
        </w:rPr>
        <w:t xml:space="preserve"> </w:t>
      </w:r>
      <w:r w:rsidR="00603DC4" w:rsidRPr="00F827DB">
        <w:rPr>
          <w:bCs/>
        </w:rPr>
        <w:t>Chủ tịch Uỷ ban nhân dân Huyện tiếp định kỳ 02 kỳ/0</w:t>
      </w:r>
      <w:r w:rsidR="00CD0B23">
        <w:rPr>
          <w:bCs/>
        </w:rPr>
        <w:t>2</w:t>
      </w:r>
      <w:r w:rsidR="006D389E">
        <w:rPr>
          <w:bCs/>
        </w:rPr>
        <w:t xml:space="preserve"> lượt người</w:t>
      </w:r>
      <w:r w:rsidR="00603DC4" w:rsidRPr="00F827DB">
        <w:rPr>
          <w:bCs/>
        </w:rPr>
        <w:t xml:space="preserve">; </w:t>
      </w:r>
      <w:r w:rsidR="00D27314">
        <w:rPr>
          <w:bCs/>
        </w:rPr>
        <w:t xml:space="preserve">tiếp đột xuất 02 kỳ/02 lượt. </w:t>
      </w:r>
      <w:r w:rsidR="00603DC4" w:rsidRPr="00F827DB">
        <w:rPr>
          <w:bCs/>
        </w:rPr>
        <w:t xml:space="preserve">Ban Tiếp công dân </w:t>
      </w:r>
      <w:r w:rsidR="003B6E26" w:rsidRPr="003B6E26">
        <w:t>0</w:t>
      </w:r>
      <w:r w:rsidR="00D27314">
        <w:t>7</w:t>
      </w:r>
      <w:r w:rsidR="003B6E26">
        <w:t xml:space="preserve"> kỳ</w:t>
      </w:r>
      <w:r w:rsidR="003B6E26" w:rsidRPr="003B6E26">
        <w:t>/0</w:t>
      </w:r>
      <w:r w:rsidR="00D27314">
        <w:t>7</w:t>
      </w:r>
      <w:r w:rsidR="003B6E26" w:rsidRPr="003B6E26">
        <w:t xml:space="preserve"> lượt người</w:t>
      </w:r>
      <w:r w:rsidR="00B65C56">
        <w:t>.</w:t>
      </w:r>
      <w:r w:rsidR="00CD0B23">
        <w:t xml:space="preserve"> </w:t>
      </w:r>
      <w:r w:rsidR="003B6E26" w:rsidRPr="003B6E26">
        <w:t>Tổng số tiếp nhận trong kỳ 04 đơn phản ánh kiến nghị</w:t>
      </w:r>
      <w:r w:rsidR="00D27314">
        <w:t>;</w:t>
      </w:r>
      <w:r w:rsidR="003B6E26" w:rsidRPr="003B6E26">
        <w:rPr>
          <w:i/>
        </w:rPr>
        <w:t xml:space="preserve"> </w:t>
      </w:r>
      <w:r w:rsidR="003B6E26">
        <w:t>đ</w:t>
      </w:r>
      <w:r w:rsidR="003B6E26" w:rsidRPr="003B6E26">
        <w:t>ã giải quyết 0</w:t>
      </w:r>
      <w:r w:rsidR="00D27314">
        <w:t>2</w:t>
      </w:r>
      <w:r w:rsidR="003B6E26" w:rsidRPr="003B6E26">
        <w:t>/04 đơn</w:t>
      </w:r>
      <w:r w:rsidR="003B6E26">
        <w:t>, còn 0</w:t>
      </w:r>
      <w:r w:rsidR="00D27314">
        <w:t>2</w:t>
      </w:r>
      <w:r w:rsidR="003B6E26">
        <w:t xml:space="preserve"> đơn </w:t>
      </w:r>
      <w:r w:rsidR="00B65C56">
        <w:t>đ</w:t>
      </w:r>
      <w:r w:rsidR="00B65C56" w:rsidRPr="00B65C56">
        <w:t>ang kiểm tra, xác minh giải quyết theo quy định</w:t>
      </w:r>
      <w:r w:rsidR="00CD0B23">
        <w:t xml:space="preserve">. </w:t>
      </w:r>
      <w:r w:rsidR="007653BE" w:rsidRPr="0036701F">
        <w:rPr>
          <w:bCs/>
          <w:iCs/>
          <w:spacing w:val="-2"/>
          <w:lang w:val="af-ZA"/>
        </w:rPr>
        <w:t xml:space="preserve">Ngoài ra, Chủ tịch, Phó Chủ tịch Uỷ ban nhân dân xã, thị trấn tiếp định kỳ </w:t>
      </w:r>
      <w:r w:rsidR="00D27314">
        <w:t>36</w:t>
      </w:r>
      <w:r w:rsidR="0014209A">
        <w:t xml:space="preserve"> kỳ</w:t>
      </w:r>
      <w:r w:rsidR="003B6E26">
        <w:t>/1</w:t>
      </w:r>
      <w:r w:rsidR="00D27314">
        <w:t>5</w:t>
      </w:r>
      <w:r w:rsidR="00B65C56" w:rsidRPr="00B65C56">
        <w:rPr>
          <w:bCs/>
        </w:rPr>
        <w:t xml:space="preserve"> </w:t>
      </w:r>
      <w:r w:rsidR="00B65C56">
        <w:rPr>
          <w:bCs/>
        </w:rPr>
        <w:t>lượt người</w:t>
      </w:r>
      <w:r w:rsidR="00CD0B23">
        <w:t>.</w:t>
      </w:r>
    </w:p>
    <w:p w14:paraId="3DCEDED3" w14:textId="77777777" w:rsidR="00520DFA" w:rsidRDefault="00EB0EF7" w:rsidP="00520DF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8D5E09">
        <w:rPr>
          <w:i/>
        </w:rPr>
        <w:t>g</w:t>
      </w:r>
      <w:r w:rsidR="009915E9" w:rsidRPr="008D5E09">
        <w:rPr>
          <w:i/>
        </w:rPr>
        <w:t>) Công tác tư pháp</w:t>
      </w:r>
    </w:p>
    <w:p w14:paraId="24D7CD4A" w14:textId="246ECF7A" w:rsidR="00520DFA" w:rsidRDefault="00D767CD" w:rsidP="00520DF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8D5E09">
        <w:t>Thường xuyên theo dõi, kiểm tra, rà soát văn bản q</w:t>
      </w:r>
      <w:r w:rsidR="0050572E" w:rsidRPr="008D5E09">
        <w:t>uy phạm pháp luật trên địa bàn H</w:t>
      </w:r>
      <w:r w:rsidRPr="008D5E09">
        <w:t>uyện theo quy định</w:t>
      </w:r>
      <w:r w:rsidR="009915E9" w:rsidRPr="008D5E09">
        <w:t>. Ngoài ra, c</w:t>
      </w:r>
      <w:r w:rsidR="009915E9" w:rsidRPr="008D5E09">
        <w:rPr>
          <w:lang w:val="nl-NL"/>
        </w:rPr>
        <w:t xml:space="preserve">ông tác quản lý nhà nước về phổ biến, giáo dục pháp luật (PBGDPL); xây dựng cấp xã đạt chuẩn tiếp cận pháp luật; hòa giải ở cơ sở; </w:t>
      </w:r>
      <w:r w:rsidR="009915E9" w:rsidRPr="008D5E09">
        <w:t xml:space="preserve">công tác quản lý xử lý vi phạm hành chính, theo dõi thi hành pháp luật, bồi thường nhà nước; công tác hộ tịch, quốc tịch, chứng thực, nuôi con nuôi, lý lịch tư pháp; </w:t>
      </w:r>
      <w:r w:rsidR="009915E9" w:rsidRPr="008D5E09">
        <w:rPr>
          <w:rFonts w:eastAsia="MS Mincho"/>
          <w:lang w:val="nb-NO" w:eastAsia="ja-JP"/>
        </w:rPr>
        <w:t xml:space="preserve">quản lý nhà nước về </w:t>
      </w:r>
      <w:r w:rsidR="009915E9" w:rsidRPr="008D5E09">
        <w:rPr>
          <w:lang w:val="nb-NO"/>
        </w:rPr>
        <w:t>bổ trợ tư pháp</w:t>
      </w:r>
      <w:r w:rsidR="009915E9" w:rsidRPr="008D5E09">
        <w:t xml:space="preserve"> cũng được quan tâm thực hiện đúng quy định.</w:t>
      </w:r>
      <w:r w:rsidR="00293074" w:rsidRPr="008D5E09">
        <w:t xml:space="preserve"> </w:t>
      </w:r>
      <w:r w:rsidR="007819EA" w:rsidRPr="007819EA">
        <w:t>Kết quả hoạt động của Tổ hòa giải cơ sở: tiếp nhận 09 vụ việc. tổ chức hòa giải thành 06 vụ việc (đạt 66,6%)</w:t>
      </w:r>
      <w:r w:rsidR="007819EA">
        <w:t>.</w:t>
      </w:r>
    </w:p>
    <w:p w14:paraId="19AD36FB" w14:textId="77777777" w:rsidR="00520DFA" w:rsidRDefault="009915E9" w:rsidP="00520DF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8D5E09">
        <w:rPr>
          <w:b/>
          <w:i/>
        </w:rPr>
        <w:t>2.4. Về tình hình phòng, chống thiên tai, bảo vệ môi trường, an toàn giao thông và phòng, chống cháy, nổ</w:t>
      </w:r>
    </w:p>
    <w:p w14:paraId="14182908" w14:textId="396A423C" w:rsidR="00520DFA" w:rsidRDefault="00E905CA" w:rsidP="00520DF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Pr>
          <w:spacing w:val="-4"/>
        </w:rPr>
        <w:t xml:space="preserve">- </w:t>
      </w:r>
      <w:r w:rsidR="00183A72">
        <w:rPr>
          <w:spacing w:val="-4"/>
        </w:rPr>
        <w:t>Trong tháng, Q</w:t>
      </w:r>
      <w:r w:rsidR="00293074" w:rsidRPr="000D3F39">
        <w:rPr>
          <w:spacing w:val="-4"/>
        </w:rPr>
        <w:t xml:space="preserve">uyết định cấp giấy chứng nhận quyền sử dụng đất lần đầu cho </w:t>
      </w:r>
      <w:r w:rsidR="006C34D1">
        <w:rPr>
          <w:spacing w:val="-4"/>
        </w:rPr>
        <w:t>1</w:t>
      </w:r>
      <w:r w:rsidR="002F4769">
        <w:rPr>
          <w:spacing w:val="-4"/>
        </w:rPr>
        <w:t>3</w:t>
      </w:r>
      <w:r w:rsidR="00293074" w:rsidRPr="000D3F39">
        <w:rPr>
          <w:spacing w:val="-4"/>
        </w:rPr>
        <w:t xml:space="preserve"> hộ gia đình, cá nhân, với diện tích </w:t>
      </w:r>
      <w:r w:rsidR="002F4769">
        <w:rPr>
          <w:spacing w:val="-4"/>
        </w:rPr>
        <w:t>0,16</w:t>
      </w:r>
      <w:r w:rsidR="00293074" w:rsidRPr="000D3F39">
        <w:rPr>
          <w:spacing w:val="-4"/>
        </w:rPr>
        <w:t xml:space="preserve"> ha; cấp giấy chứng nhận Quyền sử dụng đất cho các hộ gia đình thuộc chương trình 105/CP, 256/CP và giao đất có thu tiền sử dụng đất</w:t>
      </w:r>
      <w:r w:rsidR="00964B73">
        <w:rPr>
          <w:spacing w:val="-4"/>
        </w:rPr>
        <w:t xml:space="preserve"> </w:t>
      </w:r>
      <w:r w:rsidR="002F4769">
        <w:rPr>
          <w:spacing w:val="-4"/>
        </w:rPr>
        <w:t>04</w:t>
      </w:r>
      <w:r w:rsidR="00964B73">
        <w:rPr>
          <w:spacing w:val="-4"/>
        </w:rPr>
        <w:t xml:space="preserve"> trường hợp, với diện tích </w:t>
      </w:r>
      <w:r w:rsidR="002F4769" w:rsidRPr="002F4769">
        <w:rPr>
          <w:spacing w:val="-4"/>
        </w:rPr>
        <w:t>0,05</w:t>
      </w:r>
      <w:r w:rsidR="002F4769">
        <w:rPr>
          <w:spacing w:val="-4"/>
        </w:rPr>
        <w:t xml:space="preserve"> </w:t>
      </w:r>
      <w:r w:rsidR="00964B73">
        <w:rPr>
          <w:spacing w:val="-4"/>
        </w:rPr>
        <w:t>ha</w:t>
      </w:r>
      <w:r w:rsidR="000D3F39" w:rsidRPr="000D3F39">
        <w:rPr>
          <w:spacing w:val="-4"/>
        </w:rPr>
        <w:t>. Chuyển mục đích sử dụng đấ</w:t>
      </w:r>
      <w:r w:rsidR="00964B73">
        <w:rPr>
          <w:spacing w:val="-4"/>
        </w:rPr>
        <w:t xml:space="preserve">t </w:t>
      </w:r>
      <w:r w:rsidR="002F4769">
        <w:rPr>
          <w:spacing w:val="-4"/>
        </w:rPr>
        <w:t>21</w:t>
      </w:r>
      <w:r w:rsidR="00DE1DB8">
        <w:rPr>
          <w:spacing w:val="-4"/>
        </w:rPr>
        <w:t xml:space="preserve"> trường hợp, với </w:t>
      </w:r>
      <w:r w:rsidR="002F4769" w:rsidRPr="002F4769">
        <w:rPr>
          <w:color w:val="000000"/>
        </w:rPr>
        <w:t xml:space="preserve">22,01 </w:t>
      </w:r>
      <w:r w:rsidR="00964B73">
        <w:rPr>
          <w:spacing w:val="-4"/>
        </w:rPr>
        <w:t>ha.</w:t>
      </w:r>
    </w:p>
    <w:p w14:paraId="46C75598" w14:textId="427187FB" w:rsidR="001D6A71" w:rsidRPr="00BC5AE1" w:rsidRDefault="00E905CA" w:rsidP="001D6A71">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spacing w:val="-4"/>
        </w:rPr>
      </w:pPr>
      <w:r>
        <w:rPr>
          <w:spacing w:val="-4"/>
          <w:shd w:val="clear" w:color="auto" w:fill="FFFFFF"/>
          <w:lang w:val="nl-NL"/>
        </w:rPr>
        <w:t xml:space="preserve">- </w:t>
      </w:r>
      <w:r w:rsidR="001D6A71" w:rsidRPr="00BC5AE1">
        <w:rPr>
          <w:spacing w:val="-4"/>
          <w:shd w:val="clear" w:color="auto" w:fill="FFFFFF"/>
          <w:lang w:val="nl-NL"/>
        </w:rPr>
        <w:t>Công tác đảm bảo an toàn giao thông và phòng, chống cháy, nổ: Tình hình tai nạn giao thông đường bộ, trong tháng xảy ra 02 vụ</w:t>
      </w:r>
      <w:r w:rsidR="001D6A71" w:rsidRPr="00BC5AE1">
        <w:rPr>
          <w:i/>
          <w:spacing w:val="-4"/>
          <w:shd w:val="clear" w:color="auto" w:fill="FFFFFF"/>
          <w:lang w:val="nl-NL"/>
        </w:rPr>
        <w:t xml:space="preserve"> (tăng 02 vụ so với tháng trước)</w:t>
      </w:r>
      <w:r w:rsidR="001D6A71" w:rsidRPr="00BC5AE1">
        <w:rPr>
          <w:spacing w:val="-4"/>
          <w:shd w:val="clear" w:color="auto" w:fill="FFFFFF"/>
          <w:lang w:val="nl-NL"/>
        </w:rPr>
        <w:t xml:space="preserve">, làm 02 người tử vong, 01 người bị thương và </w:t>
      </w:r>
      <w:r w:rsidR="001D6A71" w:rsidRPr="00BC5AE1">
        <w:rPr>
          <w:rFonts w:eastAsia="Calibri"/>
          <w:spacing w:val="-4"/>
          <w:szCs w:val="22"/>
        </w:rPr>
        <w:t>thiệt hại tài sản ước tính khoảng 4.000.000</w:t>
      </w:r>
      <w:r w:rsidR="001D6A71" w:rsidRPr="00BC5AE1">
        <w:rPr>
          <w:spacing w:val="-4"/>
          <w:shd w:val="clear" w:color="auto" w:fill="FFFFFF"/>
          <w:lang w:val="nl-NL"/>
        </w:rPr>
        <w:t>; tai nạn giao thông đường thủy không xảy ra; tình hình cháy, nổ không xảy ra.</w:t>
      </w:r>
    </w:p>
    <w:p w14:paraId="231BB0CF" w14:textId="77777777" w:rsidR="00520DFA" w:rsidRDefault="009915E9" w:rsidP="00520DF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8D5E09">
        <w:rPr>
          <w:b/>
          <w:i/>
        </w:rPr>
        <w:t>2.5. Về quốc phòng, an ninh, đối ngoại</w:t>
      </w:r>
    </w:p>
    <w:p w14:paraId="6BA4495C" w14:textId="1F5F6DAE" w:rsidR="004859CE" w:rsidRDefault="004859CE" w:rsidP="004859CE">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spacing w:val="2"/>
        </w:rPr>
      </w:pPr>
      <w:r w:rsidRPr="004859CE">
        <w:rPr>
          <w:spacing w:val="2"/>
        </w:rPr>
        <w:t xml:space="preserve">Tình hình an ninh trật tự trên địa bàn Huyện được giữ vững, ổn định. Công tác đối ngoại được củng cố, giữ vững quan hệ hợp tác hữu nghị với các Huyện giáp biên thuộc tỉnh Pray Veng - Vương quốc Campuchia trên nhiều lĩnh vực, tập trung vào công tác phòng, chống các loại tội phạm, công tác bảo đảm an ninh trật tự khu vực biên giới, phục vụ yêu cầu phát triển kinh tế - xã hội, bảo đảm quốc phòng - an ninh. </w:t>
      </w:r>
    </w:p>
    <w:p w14:paraId="3C105185" w14:textId="01B72F75" w:rsidR="00520DFA" w:rsidRDefault="00E81A81" w:rsidP="00520DF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b/>
          <w:lang w:eastAsia="zh-CN"/>
        </w:rPr>
      </w:pPr>
      <w:r w:rsidRPr="008D5E09">
        <w:rPr>
          <w:b/>
        </w:rPr>
        <w:t xml:space="preserve">3. </w:t>
      </w:r>
      <w:r w:rsidR="00546CA9" w:rsidRPr="008D5E09">
        <w:rPr>
          <w:b/>
        </w:rPr>
        <w:t xml:space="preserve">Đánh </w:t>
      </w:r>
      <w:r w:rsidR="00546CA9" w:rsidRPr="008D5E09">
        <w:rPr>
          <w:b/>
          <w:lang w:eastAsia="zh-CN"/>
        </w:rPr>
        <w:t>giá chung</w:t>
      </w:r>
    </w:p>
    <w:p w14:paraId="6A3EA1DC" w14:textId="574FCE5C" w:rsidR="007A38C9" w:rsidRDefault="007A38C9" w:rsidP="00E905C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Arial"/>
          <w:spacing w:val="-4"/>
          <w:lang w:val="nl-NL"/>
        </w:rPr>
      </w:pPr>
      <w:r w:rsidRPr="00E905CA">
        <w:rPr>
          <w:rFonts w:eastAsia="Arial"/>
          <w:spacing w:val="-4"/>
          <w:lang w:val="nl-NL"/>
        </w:rPr>
        <w:t>Công tác cụ thể hoá và triển khai nhiệm vụ kế hoạch phát triển kinh tế - xã hội năm 2025 được chủ động thực hiện, gắn với kiểm tra, đôn đốc thường xuyên. Nhờ sự lãnh đạo, chỉ đạo sâu sát, quyết liệt của Huyện ủy, UBND Huyện, cùng sự đoàn kết, trách nhiệm, nỗ lực phấn đấu của cả hệ thống chính trị và người dân, cộng đồng doanh nghiệp đã tác động tích cực đến sự phát triển kinh tế - xã hội năm 2025.</w:t>
      </w:r>
    </w:p>
    <w:p w14:paraId="2BAC7152" w14:textId="5FCE5C9C" w:rsidR="00CC002F" w:rsidRPr="00E905CA" w:rsidRDefault="00CC002F" w:rsidP="00E905C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Arial"/>
          <w:spacing w:val="-4"/>
          <w:lang w:val="nl-NL"/>
        </w:rPr>
      </w:pPr>
      <w:r w:rsidRPr="00CC002F">
        <w:rPr>
          <w:rFonts w:eastAsia="Arial"/>
          <w:spacing w:val="-4"/>
          <w:lang w:val="nl-NL"/>
        </w:rPr>
        <w:t xml:space="preserve">- Lĩnh vực sản xuất nông nghiệp, nông thôn phát triển tốt, tình hình sản xuất và tiêu thụ nông sản, thuỷ sản tiếp tục phát triển ổn định; trong đó, </w:t>
      </w:r>
      <w:r>
        <w:rPr>
          <w:rFonts w:eastAsia="Arial"/>
          <w:spacing w:val="-4"/>
          <w:lang w:val="nl-NL"/>
        </w:rPr>
        <w:t>d</w:t>
      </w:r>
      <w:r w:rsidRPr="00CC002F">
        <w:rPr>
          <w:rFonts w:eastAsia="Arial"/>
          <w:spacing w:val="-4"/>
          <w:lang w:val="nl-NL"/>
        </w:rPr>
        <w:t>iện tích liên kết trong sản xuất</w:t>
      </w:r>
      <w:r>
        <w:rPr>
          <w:rFonts w:eastAsia="Arial"/>
          <w:spacing w:val="-4"/>
          <w:lang w:val="nl-NL"/>
        </w:rPr>
        <w:t xml:space="preserve"> </w:t>
      </w:r>
      <w:r w:rsidRPr="00CC002F">
        <w:rPr>
          <w:rFonts w:eastAsia="Arial"/>
          <w:i/>
          <w:spacing w:val="-4"/>
          <w:lang w:val="nl-NL"/>
        </w:rPr>
        <w:t xml:space="preserve">(cao hơn </w:t>
      </w:r>
      <w:r>
        <w:rPr>
          <w:rFonts w:eastAsia="Arial"/>
          <w:i/>
          <w:spacing w:val="-4"/>
          <w:lang w:val="nl-NL"/>
        </w:rPr>
        <w:t>2.5</w:t>
      </w:r>
      <w:r w:rsidRPr="00CC002F">
        <w:rPr>
          <w:rFonts w:eastAsia="Arial"/>
          <w:i/>
          <w:spacing w:val="-4"/>
          <w:lang w:val="nl-NL"/>
        </w:rPr>
        <w:t>00 ha so với cùng kỳ)</w:t>
      </w:r>
      <w:r>
        <w:rPr>
          <w:rFonts w:eastAsia="Arial"/>
          <w:i/>
          <w:spacing w:val="-4"/>
          <w:lang w:val="nl-NL"/>
        </w:rPr>
        <w:t xml:space="preserve">, </w:t>
      </w:r>
      <w:r w:rsidRPr="00CC002F">
        <w:rPr>
          <w:rFonts w:eastAsia="Arial"/>
          <w:spacing w:val="-4"/>
          <w:lang w:val="nl-NL"/>
        </w:rPr>
        <w:t xml:space="preserve">diện tích lúa áp dụng phương pháp sản xuất giảm giá thành </w:t>
      </w:r>
      <w:r w:rsidRPr="00CC002F">
        <w:rPr>
          <w:rFonts w:eastAsia="Arial"/>
          <w:i/>
          <w:spacing w:val="-4"/>
          <w:lang w:val="nl-NL"/>
        </w:rPr>
        <w:t>(cao hơn 2.600 ha so với cùng kỳ);</w:t>
      </w:r>
      <w:r w:rsidRPr="00CC002F">
        <w:rPr>
          <w:rFonts w:eastAsia="Arial"/>
          <w:spacing w:val="-4"/>
          <w:lang w:val="nl-NL"/>
        </w:rPr>
        <w:t xml:space="preserve"> diện tích lúa chất lượng cao </w:t>
      </w:r>
      <w:r w:rsidRPr="00CC002F">
        <w:rPr>
          <w:rFonts w:eastAsia="Arial"/>
          <w:i/>
          <w:spacing w:val="-4"/>
          <w:lang w:val="nl-NL"/>
        </w:rPr>
        <w:t>(cao hơn 9.300 ha so với cùng kỳ).</w:t>
      </w:r>
    </w:p>
    <w:p w14:paraId="7FD45E0B" w14:textId="75133630" w:rsidR="007A38C9" w:rsidRDefault="00E905CA" w:rsidP="00CC002F">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Arial"/>
          <w:iCs/>
          <w:spacing w:val="-10"/>
          <w:shd w:val="clear" w:color="auto" w:fill="FFFFFF"/>
          <w:lang w:val="pt-BR"/>
        </w:rPr>
      </w:pPr>
      <w:r>
        <w:rPr>
          <w:rFonts w:eastAsia="Arial"/>
          <w:iCs/>
          <w:spacing w:val="-10"/>
          <w:shd w:val="clear" w:color="auto" w:fill="FFFFFF"/>
          <w:lang w:val="pt-BR"/>
        </w:rPr>
        <w:t xml:space="preserve">- </w:t>
      </w:r>
      <w:r w:rsidR="007A38C9" w:rsidRPr="000778AC">
        <w:rPr>
          <w:rFonts w:eastAsia="Arial"/>
          <w:iCs/>
          <w:spacing w:val="-10"/>
          <w:shd w:val="clear" w:color="auto" w:fill="FFFFFF"/>
          <w:lang w:val="pt-BR"/>
        </w:rPr>
        <w:t xml:space="preserve">Thực hiện tốt công tác xây dựng nông thôn mới. </w:t>
      </w:r>
      <w:r w:rsidR="00593125">
        <w:rPr>
          <w:rFonts w:eastAsia="Arial"/>
          <w:iCs/>
          <w:spacing w:val="-10"/>
          <w:shd w:val="clear" w:color="auto" w:fill="FFFFFF"/>
          <w:lang w:val="pt-BR"/>
        </w:rPr>
        <w:t xml:space="preserve">Đến nay, </w:t>
      </w:r>
      <w:r w:rsidR="00593125">
        <w:t>Huyện</w:t>
      </w:r>
      <w:r w:rsidR="000778AC" w:rsidRPr="000778AC">
        <w:t xml:space="preserve"> </w:t>
      </w:r>
      <w:r w:rsidR="007A38C9" w:rsidRPr="000778AC">
        <w:t xml:space="preserve">đã </w:t>
      </w:r>
      <w:r w:rsidR="007A38C9" w:rsidRPr="000778AC">
        <w:rPr>
          <w:rFonts w:eastAsia="Arial"/>
          <w:iCs/>
          <w:spacing w:val="-10"/>
          <w:shd w:val="clear" w:color="auto" w:fill="FFFFFF"/>
          <w:lang w:val="pt-BR"/>
        </w:rPr>
        <w:t>đạt chuẩn nông thôn mới năm 2024 sớm hơn 01 năm so với kế hoạch đề ra.</w:t>
      </w:r>
    </w:p>
    <w:p w14:paraId="5EEF6EAC" w14:textId="06D95527" w:rsidR="001D6A71" w:rsidRPr="001D6A71" w:rsidRDefault="00E905CA" w:rsidP="007A38C9">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Arial"/>
          <w:iCs/>
          <w:spacing w:val="-10"/>
          <w:shd w:val="clear" w:color="auto" w:fill="FFFFFF"/>
          <w:lang w:val="pt-BR"/>
        </w:rPr>
      </w:pPr>
      <w:r>
        <w:rPr>
          <w:rFonts w:eastAsia="Arial"/>
          <w:iCs/>
          <w:spacing w:val="-10"/>
          <w:shd w:val="clear" w:color="auto" w:fill="FFFFFF"/>
          <w:lang w:val="pt-BR"/>
        </w:rPr>
        <w:t xml:space="preserve">- </w:t>
      </w:r>
      <w:r w:rsidR="001D6A71" w:rsidRPr="00A86246">
        <w:rPr>
          <w:rFonts w:eastAsia="Arial"/>
          <w:iCs/>
          <w:spacing w:val="-6"/>
          <w:shd w:val="clear" w:color="auto" w:fill="FFFFFF"/>
          <w:lang w:val="pt-BR"/>
        </w:rPr>
        <w:t xml:space="preserve">Các chính sách an sinh xã hội, chăm lo người có công và các đối tượng chính sách được quan tâm thực hiện kịp thời, lao động đi làm việc có thời hạn ở nước ngoài </w:t>
      </w:r>
      <w:r w:rsidR="001D6A71" w:rsidRPr="00A86246">
        <w:rPr>
          <w:rFonts w:eastAsia="Arial"/>
          <w:i/>
          <w:iCs/>
          <w:spacing w:val="-6"/>
          <w:shd w:val="clear" w:color="auto" w:fill="FFFFFF"/>
          <w:lang w:val="pt-BR"/>
        </w:rPr>
        <w:t>(cao hơn 33 lao động so với cùng kỳ năm 2024),</w:t>
      </w:r>
      <w:r w:rsidR="001D6A71" w:rsidRPr="00A86246">
        <w:rPr>
          <w:rFonts w:eastAsia="Arial"/>
          <w:iCs/>
          <w:spacing w:val="-6"/>
          <w:shd w:val="clear" w:color="auto" w:fill="FFFFFF"/>
          <w:lang w:val="pt-BR"/>
        </w:rPr>
        <w:t xml:space="preserve"> tỷ lệ tham gia bảo hiểm y tế cao hơn so với cùng kỳ năm 2024; công tác triển khai thực hiện Chương trình xóa nhà tạm, nhà dột nát trên địa bàn Huyện được ưu tiên triển khai thực hiện quyết liệt.</w:t>
      </w:r>
    </w:p>
    <w:p w14:paraId="0EF183F5" w14:textId="7B3C3A4E" w:rsidR="007A38C9" w:rsidRPr="001D6A71" w:rsidRDefault="007A38C9" w:rsidP="007A38C9">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Arial"/>
          <w:spacing w:val="-4"/>
          <w:lang w:val="nl-NL"/>
        </w:rPr>
      </w:pPr>
      <w:r w:rsidRPr="001D6A71">
        <w:rPr>
          <w:rFonts w:eastAsia="Arial"/>
          <w:spacing w:val="-4"/>
          <w:lang w:val="nl-NL"/>
        </w:rPr>
        <w:t xml:space="preserve">Tuy nhiên, </w:t>
      </w:r>
      <w:r w:rsidR="00C97867" w:rsidRPr="001D6A71">
        <w:rPr>
          <w:rFonts w:eastAsia="Arial"/>
          <w:spacing w:val="-4"/>
          <w:lang w:val="nl-NL"/>
        </w:rPr>
        <w:t xml:space="preserve">tỷ lệ giải ngân vốn đầu tư công đạt thấp </w:t>
      </w:r>
      <w:r w:rsidR="001D6A71">
        <w:rPr>
          <w:rFonts w:eastAsia="Arial"/>
          <w:spacing w:val="-4"/>
          <w:lang w:val="nl-NL"/>
        </w:rPr>
        <w:t>so với</w:t>
      </w:r>
      <w:r w:rsidR="00C97867" w:rsidRPr="001D6A71">
        <w:rPr>
          <w:rFonts w:eastAsia="Arial"/>
          <w:spacing w:val="-4"/>
          <w:lang w:val="nl-NL"/>
        </w:rPr>
        <w:t xml:space="preserve"> cùng kỳ</w:t>
      </w:r>
      <w:r w:rsidR="001D6A71" w:rsidRPr="001D6A71">
        <w:rPr>
          <w:rFonts w:eastAsia="Arial"/>
          <w:spacing w:val="-4"/>
          <w:lang w:val="nl-NL"/>
        </w:rPr>
        <w:t xml:space="preserve"> năm 2024</w:t>
      </w:r>
      <w:r w:rsidR="00C97867" w:rsidRPr="001D6A71">
        <w:rPr>
          <w:rFonts w:eastAsia="Arial"/>
          <w:spacing w:val="-4"/>
          <w:lang w:val="nl-NL"/>
        </w:rPr>
        <w:t>.</w:t>
      </w:r>
      <w:r w:rsidR="00C97867" w:rsidRPr="001D6A71">
        <w:rPr>
          <w:spacing w:val="-4"/>
        </w:rPr>
        <w:t xml:space="preserve"> </w:t>
      </w:r>
      <w:r w:rsidR="001D6A71" w:rsidRPr="001D6A71">
        <w:rPr>
          <w:spacing w:val="-4"/>
        </w:rPr>
        <w:t>Tình hình tai nạn giao thông đường bộ tăng so với tháng trước.</w:t>
      </w:r>
    </w:p>
    <w:p w14:paraId="6E957D79" w14:textId="0545C278" w:rsidR="00520DFA" w:rsidRDefault="009915E9" w:rsidP="00520DF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8D5E09">
        <w:rPr>
          <w:b/>
        </w:rPr>
        <w:t>III. PHƯƠNG HƯỚNG, NHIỆM VỤ TRONG THÁNG</w:t>
      </w:r>
      <w:r w:rsidR="00BA5065" w:rsidRPr="008D5E09">
        <w:rPr>
          <w:b/>
          <w:highlight w:val="white"/>
        </w:rPr>
        <w:t xml:space="preserve"> </w:t>
      </w:r>
      <w:r w:rsidR="000778AC">
        <w:rPr>
          <w:b/>
          <w:highlight w:val="white"/>
        </w:rPr>
        <w:t>5</w:t>
      </w:r>
      <w:r w:rsidR="00BA5065" w:rsidRPr="008D5E09">
        <w:rPr>
          <w:b/>
          <w:highlight w:val="white"/>
        </w:rPr>
        <w:t xml:space="preserve"> </w:t>
      </w:r>
      <w:r w:rsidRPr="008D5E09">
        <w:rPr>
          <w:b/>
          <w:highlight w:val="white"/>
        </w:rPr>
        <w:t>NĂM 202</w:t>
      </w:r>
      <w:r w:rsidR="008310AB">
        <w:rPr>
          <w:b/>
        </w:rPr>
        <w:t>5</w:t>
      </w:r>
    </w:p>
    <w:p w14:paraId="154548E4" w14:textId="0728C728" w:rsidR="009C489C" w:rsidRDefault="003B50B7" w:rsidP="009C489C">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2D0C4A">
        <w:rPr>
          <w:b/>
          <w:spacing w:val="-4"/>
        </w:rPr>
        <w:t>1</w:t>
      </w:r>
      <w:r w:rsidRPr="002D0C4A">
        <w:rPr>
          <w:spacing w:val="-4"/>
        </w:rPr>
        <w:t xml:space="preserve">. </w:t>
      </w:r>
      <w:r w:rsidR="00372D74">
        <w:rPr>
          <w:spacing w:val="-4"/>
        </w:rPr>
        <w:t xml:space="preserve">Tiếp tục </w:t>
      </w:r>
      <w:r w:rsidR="00372D74">
        <w:rPr>
          <w:spacing w:val="-4"/>
          <w:lang w:val="vi-VN"/>
        </w:rPr>
        <w:t>t</w:t>
      </w:r>
      <w:r>
        <w:rPr>
          <w:spacing w:val="-4"/>
          <w:lang w:val="vi-VN"/>
        </w:rPr>
        <w:t xml:space="preserve">ập trung </w:t>
      </w:r>
      <w:r>
        <w:rPr>
          <w:spacing w:val="-4"/>
        </w:rPr>
        <w:t>t</w:t>
      </w:r>
      <w:r w:rsidRPr="00B21719">
        <w:rPr>
          <w:spacing w:val="-4"/>
        </w:rPr>
        <w:t>ri</w:t>
      </w:r>
      <w:r>
        <w:rPr>
          <w:spacing w:val="-4"/>
        </w:rPr>
        <w:t xml:space="preserve">ển khai thực hiện các nội dung </w:t>
      </w:r>
      <w:r w:rsidR="000E587E" w:rsidRPr="000E587E">
        <w:rPr>
          <w:spacing w:val="-4"/>
        </w:rPr>
        <w:t>Chương trình hành động năm 2025 của Ban Chấp hành Đảng bộ Huyện khóa VII (</w:t>
      </w:r>
      <w:r w:rsidR="000E587E" w:rsidRPr="000E587E">
        <w:rPr>
          <w:i/>
          <w:spacing w:val="-4"/>
        </w:rPr>
        <w:t>Chương trình số 76-CTr/HU ngày 06/01/2024)</w:t>
      </w:r>
      <w:r w:rsidR="000E587E" w:rsidRPr="000E587E">
        <w:rPr>
          <w:spacing w:val="-4"/>
        </w:rPr>
        <w:t xml:space="preserve">, Kế hoạch số 18/KH-UBND ngày 17/01/2025 </w:t>
      </w:r>
      <w:r w:rsidR="000E587E">
        <w:rPr>
          <w:spacing w:val="-4"/>
        </w:rPr>
        <w:t xml:space="preserve">của Ủy ban nhân dân Huyện </w:t>
      </w:r>
      <w:r w:rsidR="000E587E" w:rsidRPr="000E587E">
        <w:rPr>
          <w:spacing w:val="-4"/>
        </w:rPr>
        <w:t>về phát triển kinh tế - xã hội, bảo đảm quốc phòng – an ninh năm 2025</w:t>
      </w:r>
      <w:r w:rsidR="00372D74">
        <w:rPr>
          <w:spacing w:val="-4"/>
        </w:rPr>
        <w:t>,</w:t>
      </w:r>
      <w:r w:rsidR="000E587E">
        <w:rPr>
          <w:spacing w:val="-4"/>
        </w:rPr>
        <w:t xml:space="preserve"> </w:t>
      </w:r>
      <w:r w:rsidR="00372D74" w:rsidRPr="00372D74">
        <w:rPr>
          <w:spacing w:val="-4"/>
        </w:rPr>
        <w:t xml:space="preserve">Kế hoạch số 35/KH-UBND </w:t>
      </w:r>
      <w:r w:rsidR="00372D74">
        <w:rPr>
          <w:spacing w:val="-4"/>
        </w:rPr>
        <w:t xml:space="preserve">ngày 03/2/2025 </w:t>
      </w:r>
      <w:r w:rsidR="00372D74" w:rsidRPr="00372D74">
        <w:rPr>
          <w:spacing w:val="-4"/>
        </w:rPr>
        <w:t>về triển khai thực hiện Quyết định số 37/QĐ-UBND-HC ngày 14/01/2025 của Ủy ban nhân dân Tỉnh</w:t>
      </w:r>
      <w:r w:rsidR="00372D74">
        <w:rPr>
          <w:spacing w:val="-4"/>
        </w:rPr>
        <w:t>.</w:t>
      </w:r>
    </w:p>
    <w:p w14:paraId="49176D49" w14:textId="1A92A5B1" w:rsidR="003A553A" w:rsidRDefault="00084DA0" w:rsidP="009C489C">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pPr>
      <w:r>
        <w:rPr>
          <w:b/>
        </w:rPr>
        <w:t>2</w:t>
      </w:r>
      <w:r w:rsidR="003B50B7" w:rsidRPr="008D5868">
        <w:rPr>
          <w:b/>
          <w:lang w:val="vi-VN"/>
        </w:rPr>
        <w:t>.</w:t>
      </w:r>
      <w:r w:rsidR="003B50B7">
        <w:rPr>
          <w:lang w:val="vi-VN"/>
        </w:rPr>
        <w:t xml:space="preserve"> </w:t>
      </w:r>
      <w:r w:rsidR="00250909" w:rsidRPr="00F21CCB">
        <w:rPr>
          <w:rFonts w:eastAsia="Calibri"/>
        </w:rPr>
        <w:t xml:space="preserve">Theo dõi tình hình </w:t>
      </w:r>
      <w:r w:rsidR="007E3D76" w:rsidRPr="007E3D76">
        <w:rPr>
          <w:rFonts w:eastAsia="Calibri"/>
        </w:rPr>
        <w:t>xuống giống lúa Hè Thu năm 2025 đúng lịch thời vụ và công tác phòng, chống hạn; vận động, tuyên truyền cho nhân dân thực hiện chuyển đổi cây trồng, vật nuôi có hiệu quả.</w:t>
      </w:r>
    </w:p>
    <w:p w14:paraId="2FF4CCE7" w14:textId="541C8ACC" w:rsidR="009C489C" w:rsidRDefault="00084DA0" w:rsidP="009C489C">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color w:val="000000" w:themeColor="text1"/>
        </w:rPr>
      </w:pPr>
      <w:r>
        <w:rPr>
          <w:b/>
          <w:color w:val="000000" w:themeColor="text1"/>
          <w:highlight w:val="white"/>
        </w:rPr>
        <w:t>3</w:t>
      </w:r>
      <w:r w:rsidR="003B50B7" w:rsidRPr="00972E4F">
        <w:rPr>
          <w:b/>
          <w:color w:val="000000" w:themeColor="text1"/>
          <w:highlight w:val="white"/>
        </w:rPr>
        <w:t>.</w:t>
      </w:r>
      <w:r w:rsidR="003B50B7" w:rsidRPr="00972E4F">
        <w:rPr>
          <w:color w:val="000000" w:themeColor="text1"/>
          <w:highlight w:val="white"/>
        </w:rPr>
        <w:t xml:space="preserve"> </w:t>
      </w:r>
      <w:r w:rsidR="0071706E" w:rsidRPr="007E3D76">
        <w:rPr>
          <w:color w:val="000000" w:themeColor="text1"/>
        </w:rPr>
        <w:t>Tập trung lãnh đạo thu dứt điểm nợ Chươ</w:t>
      </w:r>
      <w:r w:rsidR="0071706E">
        <w:rPr>
          <w:color w:val="000000" w:themeColor="text1"/>
        </w:rPr>
        <w:t>ng trình 105; t</w:t>
      </w:r>
      <w:r w:rsidR="003B50B7" w:rsidRPr="008D5868">
        <w:rPr>
          <w:color w:val="000000" w:themeColor="text1"/>
        </w:rPr>
        <w:t xml:space="preserve">hực </w:t>
      </w:r>
      <w:r w:rsidR="003B50B7">
        <w:rPr>
          <w:color w:val="000000" w:themeColor="text1"/>
        </w:rPr>
        <w:t>hiện tốt nhiệm vụ thu ngân sách.</w:t>
      </w:r>
      <w:r w:rsidR="003B50B7" w:rsidRPr="008D5868">
        <w:rPr>
          <w:color w:val="000000" w:themeColor="text1"/>
        </w:rPr>
        <w:t xml:space="preserve"> Kiểm tra, đôn đốc các chủ đầu tư, nhà thầu triển khai thi</w:t>
      </w:r>
      <w:r w:rsidR="00500688">
        <w:rPr>
          <w:color w:val="000000" w:themeColor="text1"/>
        </w:rPr>
        <w:t xml:space="preserve"> công các công trình, dự án</w:t>
      </w:r>
      <w:r w:rsidR="003B50B7" w:rsidRPr="008D5868">
        <w:rPr>
          <w:color w:val="000000" w:themeColor="text1"/>
        </w:rPr>
        <w:t xml:space="preserve"> nhất là các dự án trọng điểm năm 202</w:t>
      </w:r>
      <w:r w:rsidR="000E587E">
        <w:rPr>
          <w:color w:val="000000" w:themeColor="text1"/>
        </w:rPr>
        <w:t>5</w:t>
      </w:r>
      <w:r w:rsidR="001F79D3">
        <w:rPr>
          <w:color w:val="000000" w:themeColor="text1"/>
        </w:rPr>
        <w:t xml:space="preserve">; </w:t>
      </w:r>
      <w:r w:rsidR="003B50B7">
        <w:rPr>
          <w:color w:val="000000" w:themeColor="text1"/>
        </w:rPr>
        <w:t>t</w:t>
      </w:r>
      <w:r w:rsidR="003B50B7" w:rsidRPr="008D5868">
        <w:rPr>
          <w:color w:val="000000" w:themeColor="text1"/>
        </w:rPr>
        <w:t>ập trung quyết toán vốn đầu tư dự án hoàn thành đảm bảo đúng thời gian theo quy định.</w:t>
      </w:r>
      <w:r w:rsidR="0071706E" w:rsidRPr="0071706E">
        <w:rPr>
          <w:rFonts w:eastAsia="Calibri"/>
        </w:rPr>
        <w:t xml:space="preserve"> Chủ động phối hợp thực hiện Chiến dịch "Mùa hè Xanh" năm 2025.</w:t>
      </w:r>
    </w:p>
    <w:p w14:paraId="0EF3BCAE" w14:textId="42BFB394" w:rsidR="00304882" w:rsidRDefault="0071706E" w:rsidP="009C489C">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Pr>
          <w:b/>
          <w:bCs/>
          <w:lang w:eastAsia="vi-VN"/>
        </w:rPr>
        <w:t>4</w:t>
      </w:r>
      <w:r w:rsidR="007E3D76">
        <w:rPr>
          <w:b/>
          <w:bCs/>
          <w:lang w:eastAsia="vi-VN"/>
        </w:rPr>
        <w:t>.</w:t>
      </w:r>
      <w:r w:rsidR="007E3D76" w:rsidRPr="007E3D76">
        <w:rPr>
          <w:lang w:eastAsia="vi-VN"/>
        </w:rPr>
        <w:t xml:space="preserve"> Khẩn trương phối hợp rà soát giải quyết dứt điểm những tồn đọng của ngành, đơn vị, địa phương; rà soát, thanh quyết toán kinh phí, vốn đầu tư, thống kê tài sản, sắp xếp hồ sơ, tài liệu lưu trữ tại cơ quan, đơn vị để phục vụ cho quá trình bàn giao, chuyển giao theo quy định.</w:t>
      </w:r>
    </w:p>
    <w:p w14:paraId="5FC7F68F" w14:textId="36BD9416" w:rsidR="009C489C" w:rsidRDefault="00607727" w:rsidP="009C489C">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bCs/>
          <w:spacing w:val="-6"/>
        </w:rPr>
      </w:pPr>
      <w:r w:rsidRPr="00500688">
        <w:rPr>
          <w:b/>
          <w:color w:val="000000" w:themeColor="text1"/>
          <w:spacing w:val="-2"/>
          <w:highlight w:val="white"/>
        </w:rPr>
        <w:t>5</w:t>
      </w:r>
      <w:r w:rsidR="003B50B7" w:rsidRPr="00500688">
        <w:rPr>
          <w:b/>
          <w:color w:val="000000" w:themeColor="text1"/>
          <w:spacing w:val="-2"/>
          <w:highlight w:val="white"/>
          <w:lang w:val="vi-VN"/>
        </w:rPr>
        <w:t>.</w:t>
      </w:r>
      <w:r w:rsidR="003B50B7" w:rsidRPr="00500688">
        <w:rPr>
          <w:color w:val="000000" w:themeColor="text1"/>
          <w:spacing w:val="-2"/>
          <w:highlight w:val="white"/>
        </w:rPr>
        <w:t xml:space="preserve"> </w:t>
      </w:r>
      <w:r w:rsidR="00283D46" w:rsidRPr="00500688">
        <w:rPr>
          <w:spacing w:val="-2"/>
        </w:rPr>
        <w:t xml:space="preserve">Tiếp tục thực hiện tốt các hoạt động thông tin, </w:t>
      </w:r>
      <w:r w:rsidR="003B6E26" w:rsidRPr="00500688">
        <w:rPr>
          <w:spacing w:val="-2"/>
        </w:rPr>
        <w:t xml:space="preserve">tuyên truyền kỷ niệm các ngày trong tháng và </w:t>
      </w:r>
      <w:r w:rsidR="00283D46" w:rsidRPr="00500688">
        <w:rPr>
          <w:spacing w:val="-2"/>
        </w:rPr>
        <w:t>các hoạt động văn hóa, văn nghệ phục vụ nhu cầu của Nhân dân trên địa bàn Huyện</w:t>
      </w:r>
      <w:r w:rsidR="003A553A" w:rsidRPr="00500688">
        <w:rPr>
          <w:bCs/>
          <w:spacing w:val="-2"/>
        </w:rPr>
        <w:t xml:space="preserve">. </w:t>
      </w:r>
      <w:r w:rsidR="000778AC" w:rsidRPr="00500688">
        <w:rPr>
          <w:bCs/>
          <w:spacing w:val="-2"/>
        </w:rPr>
        <w:t>Tổ chức các hoạt động kỷ niệm 50 năm Ngày giải phóng miền Nam, thống nhất đất nước (30/4/1975 - 30/4/2025) và Quốc tế lao động 1/5</w:t>
      </w:r>
      <w:r w:rsidR="000778AC" w:rsidRPr="00500688">
        <w:rPr>
          <w:bCs/>
        </w:rPr>
        <w:t>.</w:t>
      </w:r>
    </w:p>
    <w:p w14:paraId="21E6CFE8" w14:textId="5894F41F" w:rsidR="0071706E" w:rsidRDefault="0071706E" w:rsidP="009C489C">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71706E">
        <w:rPr>
          <w:rFonts w:eastAsia="Calibri"/>
          <w:b/>
        </w:rPr>
        <w:t>6</w:t>
      </w:r>
      <w:r w:rsidRPr="0071706E">
        <w:rPr>
          <w:rFonts w:eastAsia="Calibri"/>
        </w:rPr>
        <w:t xml:space="preserve">. Thực hiện tốt Chương trình xoá nhà tạm, dột nát theo lộ trình, thời gian đề ra. Chuẩn bị tốt các điều kiện cho tổ chức kỳ thi tốt nghiệp Trung học phổ thông quốc gia, tổng kết năm học 2024 - 2025 và kỳ thi tuyển vào lớp 10. </w:t>
      </w:r>
    </w:p>
    <w:p w14:paraId="08252ED0" w14:textId="57938034" w:rsidR="009C489C" w:rsidRDefault="0071706E" w:rsidP="00E905CA">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Pr>
          <w:b/>
          <w:color w:val="000000" w:themeColor="text1"/>
          <w:highlight w:val="white"/>
        </w:rPr>
        <w:t>7</w:t>
      </w:r>
      <w:r w:rsidR="003B50B7" w:rsidRPr="00972E4F">
        <w:rPr>
          <w:b/>
          <w:color w:val="000000" w:themeColor="text1"/>
          <w:highlight w:val="white"/>
        </w:rPr>
        <w:t>.</w:t>
      </w:r>
      <w:r w:rsidR="003B50B7" w:rsidRPr="00972E4F">
        <w:rPr>
          <w:color w:val="000000" w:themeColor="text1"/>
          <w:highlight w:val="white"/>
        </w:rPr>
        <w:t xml:space="preserve"> </w:t>
      </w:r>
      <w:r w:rsidR="00F21CCB">
        <w:rPr>
          <w:color w:val="000000" w:themeColor="text1"/>
          <w:highlight w:val="white"/>
        </w:rPr>
        <w:t>Tiếp tục thực hiện</w:t>
      </w:r>
      <w:r w:rsidR="003B50B7" w:rsidRPr="00972E4F">
        <w:rPr>
          <w:color w:val="000000" w:themeColor="text1"/>
          <w:highlight w:val="white"/>
        </w:rPr>
        <w:t xml:space="preserve"> công tác khám và điều trị bệnh cho Nhân dân; công tác phòng, chống dịch bệnh trên địa bàn Huyện. </w:t>
      </w:r>
      <w:r w:rsidR="00232F08" w:rsidRPr="00232F08">
        <w:rPr>
          <w:color w:val="000000" w:themeColor="text1"/>
        </w:rPr>
        <w:t>Tăng cường các hoạt động hỗ trợ, đào tạo nghề, tư vấn giới thiệu việc làm, đưa người lao động đi làm việc có thời hạn ở nước ngoài theo hợp đồng.</w:t>
      </w:r>
    </w:p>
    <w:p w14:paraId="68E474BE" w14:textId="46E8A1BC" w:rsidR="009C489C" w:rsidRDefault="0071706E" w:rsidP="00CC002F">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color w:val="000000" w:themeColor="text1"/>
        </w:rPr>
      </w:pPr>
      <w:r>
        <w:rPr>
          <w:rFonts w:eastAsia="Calibri"/>
          <w:b/>
          <w:color w:val="000000" w:themeColor="text1"/>
        </w:rPr>
        <w:t>8</w:t>
      </w:r>
      <w:r w:rsidR="003B50B7" w:rsidRPr="00C33C11">
        <w:rPr>
          <w:rFonts w:eastAsia="Calibri"/>
          <w:b/>
          <w:color w:val="000000" w:themeColor="text1"/>
        </w:rPr>
        <w:t xml:space="preserve">. </w:t>
      </w:r>
      <w:r w:rsidR="00207040" w:rsidRPr="00207040">
        <w:rPr>
          <w:color w:val="000000" w:themeColor="text1"/>
        </w:rPr>
        <w:t>Tiếp tục triển khai hiệu quả Đề án chuyển đổi số</w:t>
      </w:r>
      <w:r w:rsidR="00232F08">
        <w:rPr>
          <w:color w:val="000000" w:themeColor="text1"/>
        </w:rPr>
        <w:t>, công tác cải cách hành chính</w:t>
      </w:r>
      <w:r w:rsidR="00207040" w:rsidRPr="00207040">
        <w:rPr>
          <w:color w:val="000000" w:themeColor="text1"/>
        </w:rPr>
        <w:t>. Chú trọng các giải pháp cắt giảm và đơn giản hóa quy trình thủ tục hành chính, mang đến</w:t>
      </w:r>
      <w:r w:rsidR="00207040">
        <w:rPr>
          <w:color w:val="000000" w:themeColor="text1"/>
        </w:rPr>
        <w:t xml:space="preserve"> dịch vụ tốt nhất cho người dân</w:t>
      </w:r>
      <w:r w:rsidR="000E587E">
        <w:rPr>
          <w:color w:val="000000" w:themeColor="text1"/>
        </w:rPr>
        <w:t>.</w:t>
      </w:r>
    </w:p>
    <w:p w14:paraId="0F5ABD79" w14:textId="77777777" w:rsidR="0071706E" w:rsidRDefault="0071706E" w:rsidP="0071706E">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color w:val="000000" w:themeColor="text1"/>
        </w:rPr>
      </w:pPr>
      <w:r w:rsidRPr="0071706E">
        <w:rPr>
          <w:rFonts w:eastAsia="Calibri"/>
          <w:b/>
        </w:rPr>
        <w:t>9.</w:t>
      </w:r>
      <w:r w:rsidRPr="0071706E">
        <w:rPr>
          <w:rFonts w:eastAsia="Calibri"/>
        </w:rPr>
        <w:t xml:space="preserve"> Thực hiện </w:t>
      </w:r>
      <w:r>
        <w:rPr>
          <w:rFonts w:eastAsia="Calibri"/>
        </w:rPr>
        <w:t>tốt công tác</w:t>
      </w:r>
      <w:r w:rsidRPr="0071706E">
        <w:rPr>
          <w:rFonts w:eastAsia="Calibri"/>
        </w:rPr>
        <w:t xml:space="preserve"> tiếp dân, đối thoại trực tiếp với dân và xử lý những kiến nghị, phản ánh của dân; tăng cường chỉ đạo, đôn đốc, kiểm tra việc tổ chức thực hiện các quy định của pháp luật về tiếp công dân, giải quyết khiếu nại, tố cáo; nắm chắc tình hình khiếu nại, tố cáo trên địa bàn; giải quyết kịp thời, dứt điểm, đúng quy định các vụ việc khiếu nại, tố cáo thuộc thẩm quyền ngay từ mới phát sinh, không để trở thành điểm nóng.</w:t>
      </w:r>
      <w:r w:rsidRPr="0071706E">
        <w:rPr>
          <w:color w:val="000000" w:themeColor="text1"/>
        </w:rPr>
        <w:t xml:space="preserve"> </w:t>
      </w:r>
    </w:p>
    <w:p w14:paraId="18E1F8DC" w14:textId="6E451F35" w:rsidR="0071706E" w:rsidRPr="0071706E" w:rsidRDefault="0071706E" w:rsidP="0071706E">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71706E">
        <w:rPr>
          <w:b/>
          <w:color w:val="000000" w:themeColor="text1"/>
        </w:rPr>
        <w:t>10</w:t>
      </w:r>
      <w:r>
        <w:rPr>
          <w:color w:val="000000" w:themeColor="text1"/>
        </w:rPr>
        <w:t xml:space="preserve">. </w:t>
      </w:r>
      <w:r w:rsidRPr="0071706E">
        <w:rPr>
          <w:rFonts w:eastAsia="Calibri"/>
        </w:rPr>
        <w:t>Tiếp tục lãnh đạo tốt công tác bảo đảm an ninh, trật tự và thực hiện có hiệu quả phòng, chố</w:t>
      </w:r>
      <w:r w:rsidR="00500688">
        <w:rPr>
          <w:rFonts w:eastAsia="Calibri"/>
        </w:rPr>
        <w:t>ng ma tuý;</w:t>
      </w:r>
      <w:r w:rsidRPr="0071706E">
        <w:rPr>
          <w:rFonts w:eastAsia="Calibri"/>
        </w:rPr>
        <w:t xml:space="preserve"> </w:t>
      </w:r>
      <w:r>
        <w:rPr>
          <w:color w:val="000000" w:themeColor="text1"/>
        </w:rPr>
        <w:t xml:space="preserve">tăng </w:t>
      </w:r>
      <w:r w:rsidRPr="00207040">
        <w:rPr>
          <w:color w:val="000000" w:themeColor="text1"/>
        </w:rPr>
        <w:t>cường tuần tra, kiểm soát đảm bảo trật tự an toàn giao thông, phòng ngừa cháy nổ, xử l</w:t>
      </w:r>
      <w:r>
        <w:rPr>
          <w:color w:val="000000" w:themeColor="text1"/>
        </w:rPr>
        <w:t>ý nghiêm các trường hợp vi phạm</w:t>
      </w:r>
      <w:r w:rsidRPr="00207040">
        <w:rPr>
          <w:color w:val="000000" w:themeColor="text1"/>
        </w:rPr>
        <w:t>. Tăng cường công tác đối ngoại, chú trọng bảo đảm an ninh khu vực biên giới.</w:t>
      </w:r>
    </w:p>
    <w:p w14:paraId="1AAC1CF3" w14:textId="2BA34BE1" w:rsidR="00207040" w:rsidRPr="00BD3548" w:rsidRDefault="00207040" w:rsidP="00BD3548">
      <w:pPr>
        <w:widowControl w:val="0"/>
        <w:pBdr>
          <w:top w:val="dotted" w:sz="4" w:space="0" w:color="FFFFFF"/>
          <w:left w:val="dotted" w:sz="4" w:space="0" w:color="FFFFFF"/>
          <w:bottom w:val="dotted" w:sz="4" w:space="11" w:color="FFFFFF"/>
          <w:right w:val="dotted" w:sz="4" w:space="0" w:color="FFFFFF"/>
        </w:pBdr>
        <w:shd w:val="clear" w:color="auto" w:fill="FFFFFF"/>
        <w:spacing w:before="120" w:after="120" w:line="360" w:lineRule="exact"/>
        <w:ind w:firstLine="567"/>
        <w:jc w:val="both"/>
        <w:rPr>
          <w:rFonts w:eastAsia="Calibri"/>
        </w:rPr>
      </w:pPr>
      <w:r w:rsidRPr="00207040">
        <w:rPr>
          <w:lang w:val="nl-NL"/>
        </w:rPr>
        <w:t xml:space="preserve">Trên đây là Báo cáo tình hình kinh tế - xã hội tháng </w:t>
      </w:r>
      <w:r>
        <w:rPr>
          <w:lang w:val="nl-NL"/>
        </w:rPr>
        <w:t>0</w:t>
      </w:r>
      <w:r w:rsidR="000778AC">
        <w:rPr>
          <w:lang w:val="nl-NL"/>
        </w:rPr>
        <w:t>4</w:t>
      </w:r>
      <w:r w:rsidRPr="00207040">
        <w:rPr>
          <w:lang w:val="nl-NL"/>
        </w:rPr>
        <w:t xml:space="preserve"> năm 2025 và tình hình thực hiện Nghị quyết số 01/NQ-CP ngày 08/01/2025 của Chính phủ</w:t>
      </w:r>
      <w:r>
        <w:rPr>
          <w:lang w:val="nl-NL"/>
        </w:rPr>
        <w:t xml:space="preserve">, </w:t>
      </w:r>
      <w:r w:rsidRPr="00207040">
        <w:rPr>
          <w:lang w:val="nl-NL"/>
        </w:rPr>
        <w:t xml:space="preserve"> </w:t>
      </w:r>
      <w:r w:rsidRPr="00900675">
        <w:rPr>
          <w:bCs/>
          <w:lang w:val="af-ZA"/>
        </w:rPr>
        <w:t xml:space="preserve">Quyết định số 37/QĐ-UBND-HC ngày 14/01/2025 của Ủy ban nhân dân Tỉnh </w:t>
      </w:r>
      <w:r w:rsidRPr="00207040">
        <w:rPr>
          <w:lang w:val="nl-NL"/>
        </w:rPr>
        <w:t xml:space="preserve">trên địa bàn </w:t>
      </w:r>
      <w:r>
        <w:rPr>
          <w:lang w:val="nl-NL"/>
        </w:rPr>
        <w:t>huyện Tân Hồng</w:t>
      </w:r>
      <w:r w:rsidRPr="00207040">
        <w:rPr>
          <w:lang w:val="nl-NL"/>
        </w:rPr>
        <w:t>./.</w:t>
      </w:r>
    </w:p>
    <w:tbl>
      <w:tblPr>
        <w:tblW w:w="9072" w:type="dxa"/>
        <w:tblInd w:w="108" w:type="dxa"/>
        <w:tblLayout w:type="fixed"/>
        <w:tblLook w:val="0000" w:firstRow="0" w:lastRow="0" w:firstColumn="0" w:lastColumn="0" w:noHBand="0" w:noVBand="0"/>
      </w:tblPr>
      <w:tblGrid>
        <w:gridCol w:w="4263"/>
        <w:gridCol w:w="4809"/>
      </w:tblGrid>
      <w:tr w:rsidR="008D5E09" w:rsidRPr="008D5E09" w14:paraId="7784E0D3" w14:textId="77777777" w:rsidTr="00E90F04">
        <w:trPr>
          <w:trHeight w:val="364"/>
        </w:trPr>
        <w:tc>
          <w:tcPr>
            <w:tcW w:w="4263" w:type="dxa"/>
          </w:tcPr>
          <w:p w14:paraId="223CCAA3" w14:textId="11FF24C3" w:rsidR="00BA5065" w:rsidRPr="008D5E09" w:rsidRDefault="00BA5065" w:rsidP="00E90F04">
            <w:pPr>
              <w:pStyle w:val="Heading3"/>
              <w:jc w:val="left"/>
              <w:rPr>
                <w:highlight w:val="white"/>
              </w:rPr>
            </w:pPr>
            <w:r w:rsidRPr="008D5E09">
              <w:rPr>
                <w:i/>
                <w:sz w:val="24"/>
                <w:highlight w:val="white"/>
              </w:rPr>
              <w:t>Nơi nhận:</w:t>
            </w:r>
            <w:r w:rsidRPr="008D5E09">
              <w:rPr>
                <w:i/>
                <w:sz w:val="24"/>
                <w:highlight w:val="white"/>
              </w:rPr>
              <w:tab/>
            </w:r>
          </w:p>
        </w:tc>
        <w:tc>
          <w:tcPr>
            <w:tcW w:w="4809" w:type="dxa"/>
          </w:tcPr>
          <w:p w14:paraId="11369F2B" w14:textId="77777777" w:rsidR="00BA5065" w:rsidRPr="008D5E09" w:rsidRDefault="00BA5065" w:rsidP="008007E9">
            <w:pPr>
              <w:pStyle w:val="Heading3"/>
              <w:ind w:firstLine="34"/>
              <w:rPr>
                <w:b w:val="0"/>
                <w:szCs w:val="28"/>
                <w:highlight w:val="white"/>
              </w:rPr>
            </w:pPr>
            <w:r w:rsidRPr="008D5E09">
              <w:rPr>
                <w:szCs w:val="28"/>
                <w:highlight w:val="white"/>
              </w:rPr>
              <w:t xml:space="preserve">TM. ỦY BAN NHÂN DÂN </w:t>
            </w:r>
          </w:p>
        </w:tc>
      </w:tr>
      <w:tr w:rsidR="00BA5065" w:rsidRPr="008D5E09" w14:paraId="579D7D89" w14:textId="77777777" w:rsidTr="008007E9">
        <w:trPr>
          <w:trHeight w:val="2169"/>
        </w:trPr>
        <w:tc>
          <w:tcPr>
            <w:tcW w:w="4263" w:type="dxa"/>
          </w:tcPr>
          <w:p w14:paraId="3FB2054D" w14:textId="77777777" w:rsidR="00BA5065" w:rsidRPr="008D5E09" w:rsidRDefault="00BA5065" w:rsidP="008007E9">
            <w:pPr>
              <w:ind w:firstLine="34"/>
              <w:jc w:val="both"/>
              <w:rPr>
                <w:sz w:val="22"/>
                <w:szCs w:val="22"/>
                <w:highlight w:val="white"/>
              </w:rPr>
            </w:pPr>
            <w:r w:rsidRPr="008D5E09">
              <w:rPr>
                <w:sz w:val="22"/>
                <w:szCs w:val="22"/>
                <w:highlight w:val="white"/>
              </w:rPr>
              <w:t>- Uỷ ban nhân dân Tỉnh;</w:t>
            </w:r>
          </w:p>
          <w:p w14:paraId="2B821E2F" w14:textId="1671F7D8" w:rsidR="00BA5065" w:rsidRPr="008D5E09" w:rsidRDefault="00BA5065" w:rsidP="008007E9">
            <w:pPr>
              <w:ind w:firstLine="34"/>
              <w:jc w:val="both"/>
              <w:rPr>
                <w:sz w:val="22"/>
                <w:szCs w:val="22"/>
                <w:highlight w:val="white"/>
              </w:rPr>
            </w:pPr>
            <w:r w:rsidRPr="008D5E09">
              <w:rPr>
                <w:sz w:val="22"/>
                <w:szCs w:val="22"/>
                <w:highlight w:val="white"/>
              </w:rPr>
              <w:t xml:space="preserve">- Sở </w:t>
            </w:r>
            <w:r w:rsidR="000154AD">
              <w:rPr>
                <w:sz w:val="22"/>
                <w:szCs w:val="22"/>
                <w:highlight w:val="white"/>
              </w:rPr>
              <w:t>Tài chính</w:t>
            </w:r>
            <w:r w:rsidRPr="008D5E09">
              <w:rPr>
                <w:sz w:val="22"/>
                <w:szCs w:val="22"/>
                <w:highlight w:val="white"/>
              </w:rPr>
              <w:t xml:space="preserve">; </w:t>
            </w:r>
          </w:p>
          <w:p w14:paraId="39CCC84B" w14:textId="77777777" w:rsidR="00BA5065" w:rsidRPr="008D5E09" w:rsidRDefault="00BA5065" w:rsidP="008007E9">
            <w:pPr>
              <w:ind w:firstLine="34"/>
              <w:jc w:val="both"/>
              <w:rPr>
                <w:sz w:val="22"/>
                <w:szCs w:val="22"/>
                <w:highlight w:val="white"/>
              </w:rPr>
            </w:pPr>
            <w:r w:rsidRPr="008D5E09">
              <w:rPr>
                <w:sz w:val="22"/>
                <w:szCs w:val="22"/>
                <w:highlight w:val="white"/>
              </w:rPr>
              <w:t xml:space="preserve">- Cục Thống kê Tỉnh; </w:t>
            </w:r>
          </w:p>
          <w:p w14:paraId="002CA936" w14:textId="77777777" w:rsidR="00BA5065" w:rsidRPr="008D5E09" w:rsidRDefault="00BA5065" w:rsidP="008007E9">
            <w:pPr>
              <w:ind w:firstLine="34"/>
              <w:jc w:val="both"/>
              <w:rPr>
                <w:b/>
                <w:sz w:val="22"/>
                <w:szCs w:val="22"/>
                <w:highlight w:val="white"/>
              </w:rPr>
            </w:pPr>
            <w:r w:rsidRPr="008D5E09">
              <w:rPr>
                <w:sz w:val="22"/>
                <w:szCs w:val="22"/>
                <w:highlight w:val="white"/>
              </w:rPr>
              <w:t>- TT/HU, TT/HĐND Huyện;</w:t>
            </w:r>
            <w:r w:rsidRPr="008D5E09">
              <w:rPr>
                <w:sz w:val="22"/>
                <w:szCs w:val="22"/>
                <w:highlight w:val="white"/>
              </w:rPr>
              <w:tab/>
            </w:r>
            <w:r w:rsidRPr="008D5E09">
              <w:rPr>
                <w:sz w:val="22"/>
                <w:szCs w:val="22"/>
                <w:highlight w:val="white"/>
              </w:rPr>
              <w:tab/>
            </w:r>
          </w:p>
          <w:p w14:paraId="4C64266D" w14:textId="77777777" w:rsidR="00BA5065" w:rsidRPr="008D5E09" w:rsidRDefault="00BA5065" w:rsidP="008007E9">
            <w:pPr>
              <w:ind w:firstLine="34"/>
              <w:jc w:val="both"/>
              <w:rPr>
                <w:sz w:val="22"/>
                <w:szCs w:val="22"/>
                <w:highlight w:val="white"/>
              </w:rPr>
            </w:pPr>
            <w:r w:rsidRPr="008D5E09">
              <w:rPr>
                <w:sz w:val="22"/>
                <w:szCs w:val="22"/>
                <w:highlight w:val="white"/>
              </w:rPr>
              <w:t>- CT, các PCT/UBND Huyện;</w:t>
            </w:r>
          </w:p>
          <w:p w14:paraId="39230B13" w14:textId="77777777" w:rsidR="00BA5065" w:rsidRPr="008D5E09" w:rsidRDefault="00BA5065" w:rsidP="008007E9">
            <w:pPr>
              <w:ind w:firstLine="34"/>
              <w:jc w:val="both"/>
              <w:rPr>
                <w:sz w:val="22"/>
                <w:szCs w:val="22"/>
                <w:highlight w:val="white"/>
              </w:rPr>
            </w:pPr>
            <w:r w:rsidRPr="008D5E09">
              <w:rPr>
                <w:sz w:val="22"/>
                <w:szCs w:val="22"/>
                <w:highlight w:val="white"/>
              </w:rPr>
              <w:t>- Các đ/c Ủy viên UBND Huyện;</w:t>
            </w:r>
          </w:p>
          <w:p w14:paraId="106CBA36" w14:textId="77777777" w:rsidR="00BA5065" w:rsidRPr="008D5E09" w:rsidRDefault="00BA5065" w:rsidP="008007E9">
            <w:pPr>
              <w:ind w:firstLine="34"/>
              <w:jc w:val="both"/>
              <w:rPr>
                <w:sz w:val="22"/>
                <w:szCs w:val="22"/>
                <w:highlight w:val="white"/>
              </w:rPr>
            </w:pPr>
            <w:r w:rsidRPr="008D5E09">
              <w:rPr>
                <w:sz w:val="22"/>
                <w:szCs w:val="22"/>
                <w:highlight w:val="white"/>
              </w:rPr>
              <w:t>- UB/MTTQ và các đoàn thể Huyện;</w:t>
            </w:r>
          </w:p>
          <w:p w14:paraId="36306915" w14:textId="77777777" w:rsidR="00BA5065" w:rsidRPr="008D5E09" w:rsidRDefault="00BA5065" w:rsidP="008007E9">
            <w:pPr>
              <w:ind w:firstLine="34"/>
              <w:jc w:val="both"/>
              <w:rPr>
                <w:sz w:val="22"/>
                <w:szCs w:val="22"/>
                <w:highlight w:val="white"/>
              </w:rPr>
            </w:pPr>
            <w:r w:rsidRPr="008D5E09">
              <w:rPr>
                <w:sz w:val="22"/>
                <w:szCs w:val="22"/>
                <w:highlight w:val="white"/>
              </w:rPr>
              <w:t>- Các phòng, ban, ngành Huyện;</w:t>
            </w:r>
          </w:p>
          <w:p w14:paraId="7A3C1EB2" w14:textId="77777777" w:rsidR="00BA5065" w:rsidRPr="008D5E09" w:rsidRDefault="00BA5065" w:rsidP="008007E9">
            <w:pPr>
              <w:ind w:firstLine="34"/>
              <w:jc w:val="both"/>
              <w:rPr>
                <w:sz w:val="22"/>
                <w:szCs w:val="22"/>
                <w:highlight w:val="white"/>
              </w:rPr>
            </w:pPr>
            <w:r w:rsidRPr="008D5E09">
              <w:rPr>
                <w:sz w:val="22"/>
                <w:szCs w:val="22"/>
                <w:highlight w:val="white"/>
              </w:rPr>
              <w:t>- UBND các xã, thị trấn;</w:t>
            </w:r>
          </w:p>
          <w:p w14:paraId="6F728B39" w14:textId="283AE215" w:rsidR="00BA5065" w:rsidRPr="008D5E09" w:rsidRDefault="00BA5065" w:rsidP="008007E9">
            <w:pPr>
              <w:ind w:firstLine="34"/>
              <w:jc w:val="both"/>
              <w:rPr>
                <w:sz w:val="22"/>
                <w:szCs w:val="22"/>
                <w:highlight w:val="white"/>
              </w:rPr>
            </w:pPr>
            <w:r w:rsidRPr="008D5E09">
              <w:rPr>
                <w:sz w:val="22"/>
                <w:szCs w:val="22"/>
                <w:highlight w:val="white"/>
              </w:rPr>
              <w:t>- L</w:t>
            </w:r>
            <w:r w:rsidR="009B39BF" w:rsidRPr="008D5E09">
              <w:rPr>
                <w:sz w:val="22"/>
                <w:szCs w:val="22"/>
                <w:highlight w:val="white"/>
              </w:rPr>
              <w:t>ãnh đạo Văn phòng</w:t>
            </w:r>
            <w:r w:rsidRPr="008D5E09">
              <w:rPr>
                <w:sz w:val="22"/>
                <w:szCs w:val="22"/>
                <w:highlight w:val="white"/>
              </w:rPr>
              <w:t>;</w:t>
            </w:r>
          </w:p>
          <w:p w14:paraId="1853ED97" w14:textId="1951476E" w:rsidR="00BA5065" w:rsidRPr="008D5E09" w:rsidRDefault="00BA5065" w:rsidP="008007E9">
            <w:pPr>
              <w:ind w:firstLine="34"/>
              <w:rPr>
                <w:highlight w:val="white"/>
              </w:rPr>
            </w:pPr>
            <w:r w:rsidRPr="008D5E09">
              <w:rPr>
                <w:sz w:val="22"/>
                <w:szCs w:val="22"/>
                <w:highlight w:val="white"/>
              </w:rPr>
              <w:t>- Lưu VT</w:t>
            </w:r>
            <w:r w:rsidR="00DD3233" w:rsidRPr="008D5E09">
              <w:rPr>
                <w:sz w:val="22"/>
                <w:szCs w:val="22"/>
                <w:highlight w:val="white"/>
              </w:rPr>
              <w:t>/UB</w:t>
            </w:r>
            <w:r w:rsidRPr="008D5E09">
              <w:rPr>
                <w:sz w:val="22"/>
                <w:szCs w:val="22"/>
                <w:highlight w:val="white"/>
              </w:rPr>
              <w:t>, NC</w:t>
            </w:r>
            <w:r w:rsidRPr="008D5E09">
              <w:rPr>
                <w:sz w:val="22"/>
                <w:szCs w:val="22"/>
                <w:highlight w:val="white"/>
                <w:vertAlign w:val="subscript"/>
              </w:rPr>
              <w:t>T</w:t>
            </w:r>
            <w:r w:rsidR="00126C4E" w:rsidRPr="008D5E09">
              <w:rPr>
                <w:sz w:val="22"/>
                <w:szCs w:val="22"/>
                <w:highlight w:val="white"/>
                <w:vertAlign w:val="subscript"/>
              </w:rPr>
              <w:t>hảo</w:t>
            </w:r>
            <w:r w:rsidRPr="008D5E09">
              <w:rPr>
                <w:sz w:val="22"/>
                <w:szCs w:val="22"/>
                <w:highlight w:val="white"/>
              </w:rPr>
              <w:t>.</w:t>
            </w:r>
            <w:r w:rsidRPr="008D5E09">
              <w:rPr>
                <w:sz w:val="22"/>
                <w:szCs w:val="22"/>
                <w:highlight w:val="white"/>
              </w:rPr>
              <w:tab/>
            </w:r>
          </w:p>
        </w:tc>
        <w:tc>
          <w:tcPr>
            <w:tcW w:w="4809" w:type="dxa"/>
          </w:tcPr>
          <w:p w14:paraId="58827EE5" w14:textId="77777777" w:rsidR="00126C4E" w:rsidRPr="008D5E09" w:rsidRDefault="00126C4E" w:rsidP="00126C4E">
            <w:pPr>
              <w:jc w:val="center"/>
              <w:rPr>
                <w:b/>
                <w:lang w:val="vi-VN"/>
              </w:rPr>
            </w:pPr>
            <w:r w:rsidRPr="008D5E09">
              <w:rPr>
                <w:b/>
              </w:rPr>
              <w:t xml:space="preserve">KT. </w:t>
            </w:r>
            <w:r w:rsidRPr="008D5E09">
              <w:rPr>
                <w:b/>
                <w:lang w:val="vi-VN"/>
              </w:rPr>
              <w:t>CHỦ TỊCH</w:t>
            </w:r>
          </w:p>
          <w:p w14:paraId="214AFD05" w14:textId="77777777" w:rsidR="00126C4E" w:rsidRPr="008D5E09" w:rsidRDefault="00126C4E" w:rsidP="00126C4E">
            <w:pPr>
              <w:jc w:val="center"/>
              <w:rPr>
                <w:b/>
              </w:rPr>
            </w:pPr>
            <w:r w:rsidRPr="008D5E09">
              <w:rPr>
                <w:b/>
              </w:rPr>
              <w:t>PHÓ CHỦ TỊCH</w:t>
            </w:r>
          </w:p>
          <w:p w14:paraId="54D97CE3" w14:textId="77777777" w:rsidR="00126C4E" w:rsidRPr="008D5E09" w:rsidRDefault="00126C4E" w:rsidP="00126C4E">
            <w:pPr>
              <w:jc w:val="center"/>
              <w:rPr>
                <w:b/>
                <w:lang w:val="vi-VN"/>
              </w:rPr>
            </w:pPr>
          </w:p>
          <w:p w14:paraId="3698E2A9" w14:textId="77777777" w:rsidR="00126C4E" w:rsidRPr="008D5E09" w:rsidRDefault="00126C4E" w:rsidP="00126C4E">
            <w:pPr>
              <w:jc w:val="center"/>
              <w:rPr>
                <w:b/>
              </w:rPr>
            </w:pPr>
          </w:p>
          <w:p w14:paraId="48233221" w14:textId="77777777" w:rsidR="00126C4E" w:rsidRPr="008D5E09" w:rsidRDefault="00126C4E" w:rsidP="00126C4E">
            <w:pPr>
              <w:jc w:val="center"/>
              <w:rPr>
                <w:b/>
              </w:rPr>
            </w:pPr>
          </w:p>
          <w:p w14:paraId="7F03E944" w14:textId="1BD59874" w:rsidR="00126C4E" w:rsidRPr="008D5E09" w:rsidRDefault="00126C4E" w:rsidP="00232F08">
            <w:pPr>
              <w:rPr>
                <w:b/>
                <w:lang w:val="vi-VN"/>
              </w:rPr>
            </w:pPr>
          </w:p>
          <w:p w14:paraId="1902DF05" w14:textId="4E94B371" w:rsidR="00BA5065" w:rsidRPr="008D5E09" w:rsidRDefault="000778AC" w:rsidP="00126C4E">
            <w:pPr>
              <w:ind w:firstLine="34"/>
              <w:jc w:val="center"/>
              <w:rPr>
                <w:b/>
                <w:highlight w:val="white"/>
              </w:rPr>
            </w:pPr>
            <w:r>
              <w:rPr>
                <w:b/>
              </w:rPr>
              <w:t>Phan Công Luận</w:t>
            </w:r>
          </w:p>
          <w:p w14:paraId="1E26F54E" w14:textId="7D543C22" w:rsidR="00BA5065" w:rsidRPr="008D5E09" w:rsidRDefault="00BA5065" w:rsidP="00A90819">
            <w:pPr>
              <w:rPr>
                <w:b/>
                <w:highlight w:val="white"/>
              </w:rPr>
            </w:pPr>
            <w:r w:rsidRPr="008D5E09">
              <w:rPr>
                <w:b/>
                <w:highlight w:val="white"/>
              </w:rPr>
              <w:t xml:space="preserve"> </w:t>
            </w:r>
          </w:p>
        </w:tc>
      </w:tr>
    </w:tbl>
    <w:p w14:paraId="41CAC41B" w14:textId="3BCE95B2" w:rsidR="001538D8" w:rsidRPr="008D5E09" w:rsidRDefault="001538D8"/>
    <w:sectPr w:rsidR="001538D8" w:rsidRPr="008D5E09" w:rsidSect="00BD3548">
      <w:headerReference w:type="default" r:id="rId8"/>
      <w:footerReference w:type="even" r:id="rId9"/>
      <w:pgSz w:w="11907" w:h="16839" w:code="9"/>
      <w:pgMar w:top="993" w:right="1134" w:bottom="1134" w:left="1701" w:header="709" w:footer="62"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678BD" w14:textId="77777777" w:rsidR="00352C61" w:rsidRDefault="00352C61" w:rsidP="00BA5065">
      <w:r>
        <w:separator/>
      </w:r>
    </w:p>
  </w:endnote>
  <w:endnote w:type="continuationSeparator" w:id="0">
    <w:p w14:paraId="3E572BF4" w14:textId="77777777" w:rsidR="00352C61" w:rsidRDefault="00352C61" w:rsidP="00BA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I-Times">
    <w:altName w:val="Times New Roman"/>
    <w:charset w:val="00"/>
    <w:family w:val="auto"/>
    <w:pitch w:val="variable"/>
    <w:sig w:usb0="00000007" w:usb1="00000000" w:usb2="00000000" w:usb3="00000000" w:csb0="00000013" w:csb1="00000000"/>
  </w:font>
  <w:font w:name="Times New Roman Italic">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46653" w14:textId="77777777" w:rsidR="001538D8" w:rsidRDefault="002127E0" w:rsidP="003D39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362E7C" w14:textId="77777777" w:rsidR="001538D8" w:rsidRDefault="001538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06C91" w14:textId="77777777" w:rsidR="00352C61" w:rsidRDefault="00352C61" w:rsidP="00BA5065">
      <w:r>
        <w:separator/>
      </w:r>
    </w:p>
  </w:footnote>
  <w:footnote w:type="continuationSeparator" w:id="0">
    <w:p w14:paraId="4841B8AF" w14:textId="77777777" w:rsidR="00352C61" w:rsidRDefault="00352C61" w:rsidP="00BA5065">
      <w:r>
        <w:continuationSeparator/>
      </w:r>
    </w:p>
  </w:footnote>
  <w:footnote w:id="1">
    <w:p w14:paraId="41F2C21D" w14:textId="3B05DBE1" w:rsidR="004316E1" w:rsidRDefault="004316E1" w:rsidP="007A6EB7">
      <w:pPr>
        <w:pStyle w:val="FootnoteText"/>
        <w:ind w:firstLine="284"/>
        <w:jc w:val="both"/>
      </w:pPr>
      <w:r>
        <w:rPr>
          <w:rStyle w:val="FootnoteReference"/>
        </w:rPr>
        <w:footnoteRef/>
      </w:r>
      <w:r>
        <w:t xml:space="preserve"> </w:t>
      </w:r>
      <w:r w:rsidR="007A6EB7" w:rsidRPr="007A6EB7">
        <w:t xml:space="preserve">Diện tích sản xuất lúa chất lượng cao đạt 27.411,28 /28.800 ha </w:t>
      </w:r>
      <w:r w:rsidR="007A6EB7" w:rsidRPr="007A6EB7">
        <w:rPr>
          <w:i/>
        </w:rPr>
        <w:t>(cao hơn 9.332,28 ha so cùng kỳ</w:t>
      </w:r>
      <w:r w:rsidR="007A6EB7" w:rsidRPr="007A6EB7">
        <w:t>), đạt 95% KH. Diện tích giảm giá thành 9.621/12.000 ha, đạt 80%</w:t>
      </w:r>
      <w:r w:rsidR="007A6EB7">
        <w:t xml:space="preserve"> </w:t>
      </w:r>
      <w:r w:rsidR="007A6EB7" w:rsidRPr="007A6EB7">
        <w:t xml:space="preserve">KH </w:t>
      </w:r>
      <w:r w:rsidR="007A6EB7" w:rsidRPr="007A6EB7">
        <w:rPr>
          <w:i/>
        </w:rPr>
        <w:t>(cao hơn cùng kỳ 2.641 ha).</w:t>
      </w:r>
      <w:r w:rsidR="007A6EB7" w:rsidRPr="007A6EB7">
        <w:t xml:space="preserve"> Diện tích liên kết sản xuất 14.110 ha/ 21.000 ha, đạt 67% KH </w:t>
      </w:r>
      <w:r w:rsidR="007A6EB7" w:rsidRPr="007A6EB7">
        <w:rPr>
          <w:i/>
        </w:rPr>
        <w:t>(thấp hơn cùng kỳ 2.555 ha so cùng kỳ).</w:t>
      </w:r>
    </w:p>
  </w:footnote>
  <w:footnote w:id="2">
    <w:p w14:paraId="5E6BEE38" w14:textId="064D7DFF" w:rsidR="00C2439D" w:rsidRPr="000D7775" w:rsidRDefault="00C2439D" w:rsidP="004E0422">
      <w:pPr>
        <w:pStyle w:val="FootnoteText"/>
        <w:ind w:firstLine="284"/>
        <w:jc w:val="both"/>
      </w:pPr>
      <w:r w:rsidRPr="000D7775">
        <w:rPr>
          <w:rStyle w:val="FootnoteReference"/>
        </w:rPr>
        <w:footnoteRef/>
      </w:r>
      <w:r w:rsidRPr="000D7775">
        <w:t xml:space="preserve"> </w:t>
      </w:r>
      <w:r w:rsidR="007A6EB7" w:rsidRPr="007A6EB7">
        <w:t>Trong tháng ghi nhận 688 con mắc bệnh (Heo, Bò và Chó) của 208 hộ với tổng đàn là 3.452 con, tiêu hủy 10 con. Các loại bệnh chủ yếu: Tụ huyết trùng, Phó thương hàn, Tiêu chảy, Viêm vú, Viêm phổi, Viêm khớp, Viêm tử cung, Viêm hô hấp, Đau móng, Chướng hơi dạ cỏ, Rối loạn tiêu hoá, E. coli.</w:t>
      </w:r>
      <w:r w:rsidR="004316E1">
        <w:t>.</w:t>
      </w:r>
      <w:r w:rsidR="007A6EB7" w:rsidRPr="007A6EB7">
        <w:t xml:space="preserve"> Tiêm phòng vaccine từ đầu năm đến nay đạt 785.310 liều cúm AH5N1, đạt 85% tổng đàn thuộc diện tiêm phòng</w:t>
      </w:r>
      <w:r w:rsidR="007A6EB7">
        <w:t>.</w:t>
      </w:r>
    </w:p>
  </w:footnote>
  <w:footnote w:id="3">
    <w:p w14:paraId="0AD674C8" w14:textId="6C62611A" w:rsidR="00B504FD" w:rsidRPr="001B4644" w:rsidRDefault="00B504FD" w:rsidP="00B504FD">
      <w:pPr>
        <w:ind w:firstLine="180"/>
        <w:jc w:val="both"/>
        <w:rPr>
          <w:sz w:val="20"/>
          <w:szCs w:val="20"/>
          <w:lang w:val="nl-NL"/>
        </w:rPr>
      </w:pPr>
      <w:r w:rsidRPr="001B4644">
        <w:rPr>
          <w:rFonts w:eastAsia="Calibri"/>
          <w:sz w:val="20"/>
          <w:szCs w:val="20"/>
          <w:vertAlign w:val="superscript"/>
          <w:lang w:val="nl-NL"/>
        </w:rPr>
        <w:t>(</w:t>
      </w:r>
      <w:r w:rsidRPr="001B4644">
        <w:rPr>
          <w:rStyle w:val="FootnoteReference"/>
          <w:sz w:val="20"/>
          <w:szCs w:val="20"/>
        </w:rPr>
        <w:footnoteRef/>
      </w:r>
      <w:r w:rsidRPr="001B4644">
        <w:rPr>
          <w:rFonts w:eastAsia="Calibri"/>
          <w:sz w:val="20"/>
          <w:szCs w:val="20"/>
          <w:vertAlign w:val="superscript"/>
          <w:lang w:val="nl-NL"/>
        </w:rPr>
        <w:t>)</w:t>
      </w:r>
      <w:r w:rsidR="00F6112D">
        <w:rPr>
          <w:rFonts w:eastAsia="Calibri"/>
          <w:sz w:val="20"/>
          <w:szCs w:val="20"/>
          <w:vertAlign w:val="superscript"/>
          <w:lang w:val="nl-NL"/>
        </w:rPr>
        <w:t xml:space="preserve"> </w:t>
      </w:r>
      <w:r w:rsidR="004316E1">
        <w:rPr>
          <w:rFonts w:eastAsia="Calibri"/>
          <w:sz w:val="20"/>
          <w:szCs w:val="20"/>
          <w:lang w:val="nl-NL"/>
        </w:rPr>
        <w:t>C</w:t>
      </w:r>
      <w:r w:rsidR="004316E1" w:rsidRPr="004316E1">
        <w:rPr>
          <w:rFonts w:eastAsia="Calibri"/>
          <w:sz w:val="20"/>
          <w:szCs w:val="20"/>
          <w:lang w:val="nl-NL"/>
        </w:rPr>
        <w:t xml:space="preserve">ụ thể </w:t>
      </w:r>
      <w:r w:rsidR="007A6EB7" w:rsidRPr="007A6EB7">
        <w:rPr>
          <w:rFonts w:eastAsia="Calibri"/>
          <w:sz w:val="20"/>
          <w:szCs w:val="20"/>
          <w:lang w:val="nl-NL"/>
        </w:rPr>
        <w:t>giá bò hơi 72.000-77.000 đồng/kg tăng 2.000 đồng/kg, heo hơi 71.000-76.000 đồng/kg tăng 4.000 đồng/kg, gà hơi 88.000-98.000 đồng/kg tăng 2.000 đồng/kg và vịt hơi 56.000-64.000 đồng/kg tăng 2.000-6.000 đồng/kg. Riêng giá trâu hơi 65.000-68.000 đồng/kg giảm 4.000-6.000 đồng/kg, trứng vịt 2.100-2.200 đồng/trứng giảm 200 đồng/trứng và trứng gà 3.300 đồng/trứng giảm 200 đồng/trứng</w:t>
      </w:r>
      <w:r w:rsidR="004316E1">
        <w:rPr>
          <w:rFonts w:eastAsia="Calibri"/>
          <w:sz w:val="20"/>
          <w:szCs w:val="20"/>
          <w:lang w:val="nl-NL"/>
        </w:rPr>
        <w:t>.</w:t>
      </w:r>
    </w:p>
  </w:footnote>
  <w:footnote w:id="4">
    <w:p w14:paraId="6E569AA9" w14:textId="2C0B4183" w:rsidR="00F6112D" w:rsidRDefault="00F6112D" w:rsidP="00F6112D">
      <w:pPr>
        <w:pStyle w:val="FootnoteText"/>
        <w:ind w:firstLine="180"/>
      </w:pPr>
      <w:r>
        <w:rPr>
          <w:rStyle w:val="FootnoteReference"/>
        </w:rPr>
        <w:footnoteRef/>
      </w:r>
      <w:r w:rsidR="007A6EB7">
        <w:t xml:space="preserve"> Trong đó</w:t>
      </w:r>
      <w:r>
        <w:t xml:space="preserve">, </w:t>
      </w:r>
      <w:r w:rsidR="007A6EB7" w:rsidRPr="007A6EB7">
        <w:t>Cá tra 43.764 tấn; thủy sản khác 378,4 tấn, tôm 19,4 tấn và khai thác tự nhiên 393,6 tấn</w:t>
      </w:r>
      <w:r w:rsidRPr="00F6112D">
        <w:t>.</w:t>
      </w:r>
    </w:p>
  </w:footnote>
  <w:footnote w:id="5">
    <w:p w14:paraId="56A1B0E2" w14:textId="77777777" w:rsidR="00595663" w:rsidRDefault="00595663" w:rsidP="00595663">
      <w:pPr>
        <w:pStyle w:val="FootnoteText"/>
        <w:ind w:firstLine="284"/>
        <w:jc w:val="both"/>
      </w:pPr>
      <w:r w:rsidRPr="00515A1F">
        <w:rPr>
          <w:rStyle w:val="FootnoteReference"/>
        </w:rPr>
        <w:footnoteRef/>
      </w:r>
      <w:r w:rsidRPr="00515A1F">
        <w:t xml:space="preserve"> 01 vùng trồng Sầu Riêng tại xã Tân Phước, 01 vùng trồng xoài Cát Hòa Lộc tại thị trấn Sa Rài và vùng trồng dừa tại xã Tân Hộ Cơ</w:t>
      </w:r>
      <w:r>
        <w:t>.</w:t>
      </w:r>
    </w:p>
  </w:footnote>
  <w:footnote w:id="6">
    <w:p w14:paraId="7B99B0FB" w14:textId="7D743AD9" w:rsidR="00283D46" w:rsidRPr="003F159D" w:rsidRDefault="00283D46" w:rsidP="008950CB">
      <w:pPr>
        <w:pStyle w:val="FootnoteText"/>
        <w:ind w:firstLine="284"/>
        <w:jc w:val="both"/>
        <w:rPr>
          <w:spacing w:val="-6"/>
        </w:rPr>
      </w:pPr>
      <w:r w:rsidRPr="003F159D">
        <w:rPr>
          <w:rStyle w:val="FootnoteReference"/>
          <w:spacing w:val="-6"/>
        </w:rPr>
        <w:footnoteRef/>
      </w:r>
      <w:r w:rsidRPr="003F159D">
        <w:rPr>
          <w:spacing w:val="-6"/>
        </w:rPr>
        <w:t xml:space="preserve"> Tuyên truyền kỷ niệm các ngày trong tháng: </w:t>
      </w:r>
      <w:r w:rsidR="008950CB" w:rsidRPr="003F159D">
        <w:rPr>
          <w:spacing w:val="-6"/>
        </w:rPr>
        <w:t>Ngày Quốc tế haṇh phú 20/3; Ngày thành lập Đoàn TNCS Hồ Chí Minh 26/3; Ngày thể thao Việt Nam 27/3; Ngày miền Nam hoàn toàn giải phóng, thống nhất đất nước 30/4; Ngày Quốc tế lao động 01/5 và mừng sinh nhật Bác 19/5; Giờ trái đất...cùng với các phong trào hành động ở địa phương</w:t>
      </w:r>
      <w:r w:rsidRPr="003F159D">
        <w:rPr>
          <w:spacing w:val="-6"/>
        </w:rPr>
        <w:t>.</w:t>
      </w:r>
      <w:r w:rsidR="00D27314" w:rsidRPr="00D27314">
        <w:t xml:space="preserve"> </w:t>
      </w:r>
      <w:r w:rsidR="00D27314" w:rsidRPr="00D27314">
        <w:rPr>
          <w:spacing w:val="-6"/>
        </w:rPr>
        <w:t>In và treo 10 băng rol tuyên truyền 90 năm ngày truyền thống dân quân tự vệ (28/3/1935 – 28/3/2025), xã Tân Phước đạt chuẩn nông thôn mới nâng cao... Trồng 250 cây cờ phướn và triển khai 12 lượt cụm cờ phướn tuyên truyền 90 năm ngày truyền thống dân quân tự vệ, giỗ tổ Hùng Vương (10/3 âm lịch)...</w:t>
      </w:r>
    </w:p>
  </w:footnote>
  <w:footnote w:id="7">
    <w:p w14:paraId="3A7F851B" w14:textId="6919E884" w:rsidR="008950CB" w:rsidRDefault="008950CB" w:rsidP="008950CB">
      <w:pPr>
        <w:pStyle w:val="FootnoteText"/>
        <w:ind w:firstLine="187"/>
        <w:jc w:val="both"/>
      </w:pPr>
      <w:r>
        <w:rPr>
          <w:rStyle w:val="FootnoteReference"/>
        </w:rPr>
        <w:footnoteRef/>
      </w:r>
      <w:r>
        <w:t xml:space="preserve"> Trong đó: C</w:t>
      </w:r>
      <w:r w:rsidRPr="008950CB">
        <w:t>ộng tác với Đài PT-TH tỉnh 76 tin, bài (phát thanh – truyền hình); hợp tác quay 03 phóng sự phát trong Chuyên mục “Toàn cảnh nông nghiệp”; “Bình đẳng giới”, đồng thời gửi tin cộng tác Website Đài Phát thanh - Truyền hình Đồng Tháp; các Trang Báo tỉnh và Trang thông tin điện tử Huyện 78 tin, bài và hình ảnh</w:t>
      </w:r>
      <w:r>
        <w:t>.</w:t>
      </w:r>
    </w:p>
  </w:footnote>
  <w:footnote w:id="8">
    <w:p w14:paraId="0BD6AC69" w14:textId="337C9B72" w:rsidR="00B65C56" w:rsidRDefault="00B65C56" w:rsidP="00B65C56">
      <w:pPr>
        <w:pStyle w:val="FootnoteText"/>
        <w:ind w:firstLine="187"/>
        <w:jc w:val="both"/>
      </w:pPr>
      <w:r>
        <w:rPr>
          <w:rStyle w:val="FootnoteReference"/>
        </w:rPr>
        <w:footnoteRef/>
      </w:r>
      <w:r>
        <w:t xml:space="preserve"> C</w:t>
      </w:r>
      <w:r w:rsidRPr="00B65C56">
        <w:t xml:space="preserve">hủ đề </w:t>
      </w:r>
      <w:r w:rsidR="002C5EA3" w:rsidRPr="002C5EA3">
        <w:t xml:space="preserve">“Thực hiện chuyển đổi số trong xã hội gắn với đời sống sinh hoạt hằng ngày của người dân; Thực hiện Đề án phát triển Du lịch và Chính sách hỗ trợ cho phát triển du lịch. Công tác chuyển đổi số của địa phương; Chương trình khởi nghiệp trong thanh niên gắn với các sản phẩm đặc trưng của Huyện” </w:t>
      </w:r>
      <w:r w:rsidR="002C5EA3" w:rsidRPr="002C5EA3">
        <w:rPr>
          <w:i/>
          <w:iCs/>
        </w:rPr>
        <w:t>(thời lượng 60 phút, từ 8 giờ đến 9 giờ ngày 29/03/2025).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2999534"/>
      <w:docPartObj>
        <w:docPartGallery w:val="Page Numbers (Top of Page)"/>
        <w:docPartUnique/>
      </w:docPartObj>
    </w:sdtPr>
    <w:sdtEndPr>
      <w:rPr>
        <w:noProof/>
      </w:rPr>
    </w:sdtEndPr>
    <w:sdtContent>
      <w:p w14:paraId="62785012" w14:textId="08D7A188" w:rsidR="001538D8" w:rsidRDefault="002127E0">
        <w:pPr>
          <w:pStyle w:val="Header"/>
          <w:jc w:val="center"/>
        </w:pPr>
        <w:r>
          <w:fldChar w:fldCharType="begin"/>
        </w:r>
        <w:r>
          <w:instrText xml:space="preserve"> PAGE   \* MERGEFORMAT </w:instrText>
        </w:r>
        <w:r>
          <w:fldChar w:fldCharType="separate"/>
        </w:r>
        <w:r w:rsidR="000566E2">
          <w:rPr>
            <w:noProof/>
          </w:rPr>
          <w:t>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DA0"/>
    <w:multiLevelType w:val="hybridMultilevel"/>
    <w:tmpl w:val="809C4DCA"/>
    <w:lvl w:ilvl="0" w:tplc="68FCF102">
      <w:start w:val="3"/>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4A95518"/>
    <w:multiLevelType w:val="hybridMultilevel"/>
    <w:tmpl w:val="55F654BC"/>
    <w:lvl w:ilvl="0" w:tplc="79BEF736">
      <w:start w:val="1"/>
      <w:numFmt w:val="lowerLetter"/>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 w15:restartNumberingAfterBreak="0">
    <w:nsid w:val="273011D8"/>
    <w:multiLevelType w:val="singleLevel"/>
    <w:tmpl w:val="65CE282C"/>
    <w:lvl w:ilvl="0">
      <w:start w:val="1"/>
      <w:numFmt w:val="bullet"/>
      <w:pStyle w:val="MysA"/>
      <w:lvlText w:val=""/>
      <w:lvlJc w:val="left"/>
      <w:pPr>
        <w:tabs>
          <w:tab w:val="num" w:pos="360"/>
        </w:tabs>
        <w:ind w:left="360" w:hanging="360"/>
      </w:pPr>
      <w:rPr>
        <w:rFonts w:ascii="Monotype Sorts" w:hAnsi="Monotype Sorts" w:hint="default"/>
        <w:sz w:val="16"/>
      </w:rPr>
    </w:lvl>
  </w:abstractNum>
  <w:abstractNum w:abstractNumId="3" w15:restartNumberingAfterBreak="0">
    <w:nsid w:val="31A12DF1"/>
    <w:multiLevelType w:val="hybridMultilevel"/>
    <w:tmpl w:val="DC8A4134"/>
    <w:lvl w:ilvl="0" w:tplc="E23CDCF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065"/>
    <w:rsid w:val="00003238"/>
    <w:rsid w:val="00006010"/>
    <w:rsid w:val="00015473"/>
    <w:rsid w:val="000154AD"/>
    <w:rsid w:val="00023144"/>
    <w:rsid w:val="00031686"/>
    <w:rsid w:val="00034B85"/>
    <w:rsid w:val="00036945"/>
    <w:rsid w:val="000566E2"/>
    <w:rsid w:val="00057166"/>
    <w:rsid w:val="00070A2C"/>
    <w:rsid w:val="00071723"/>
    <w:rsid w:val="00071B33"/>
    <w:rsid w:val="000778AC"/>
    <w:rsid w:val="0008330C"/>
    <w:rsid w:val="000835D4"/>
    <w:rsid w:val="00084DA0"/>
    <w:rsid w:val="00085C61"/>
    <w:rsid w:val="00085F33"/>
    <w:rsid w:val="00086F72"/>
    <w:rsid w:val="00090060"/>
    <w:rsid w:val="00090D0B"/>
    <w:rsid w:val="000913D7"/>
    <w:rsid w:val="000B1922"/>
    <w:rsid w:val="000B280E"/>
    <w:rsid w:val="000B55A9"/>
    <w:rsid w:val="000B68A5"/>
    <w:rsid w:val="000C10C6"/>
    <w:rsid w:val="000C257A"/>
    <w:rsid w:val="000C333A"/>
    <w:rsid w:val="000D3F39"/>
    <w:rsid w:val="000E0553"/>
    <w:rsid w:val="000E30D9"/>
    <w:rsid w:val="000E587E"/>
    <w:rsid w:val="000F0ADE"/>
    <w:rsid w:val="00103FB6"/>
    <w:rsid w:val="00106248"/>
    <w:rsid w:val="0010682D"/>
    <w:rsid w:val="00113286"/>
    <w:rsid w:val="001207A2"/>
    <w:rsid w:val="0012460E"/>
    <w:rsid w:val="001250DA"/>
    <w:rsid w:val="00126C4E"/>
    <w:rsid w:val="001318FC"/>
    <w:rsid w:val="001324D7"/>
    <w:rsid w:val="00141557"/>
    <w:rsid w:val="0014209A"/>
    <w:rsid w:val="001513C9"/>
    <w:rsid w:val="00152BD3"/>
    <w:rsid w:val="00152D81"/>
    <w:rsid w:val="001538D8"/>
    <w:rsid w:val="0015416A"/>
    <w:rsid w:val="001552A6"/>
    <w:rsid w:val="001608F6"/>
    <w:rsid w:val="00160D92"/>
    <w:rsid w:val="00160EE2"/>
    <w:rsid w:val="00166E01"/>
    <w:rsid w:val="00167F38"/>
    <w:rsid w:val="0017787C"/>
    <w:rsid w:val="001823E8"/>
    <w:rsid w:val="00183A72"/>
    <w:rsid w:val="001901B1"/>
    <w:rsid w:val="0019203E"/>
    <w:rsid w:val="001A1305"/>
    <w:rsid w:val="001A35D7"/>
    <w:rsid w:val="001A5B70"/>
    <w:rsid w:val="001B205C"/>
    <w:rsid w:val="001B23DB"/>
    <w:rsid w:val="001B6FF0"/>
    <w:rsid w:val="001C41AD"/>
    <w:rsid w:val="001C4E6B"/>
    <w:rsid w:val="001D6A71"/>
    <w:rsid w:val="001E50CF"/>
    <w:rsid w:val="001F5280"/>
    <w:rsid w:val="001F5A53"/>
    <w:rsid w:val="001F79D3"/>
    <w:rsid w:val="00200238"/>
    <w:rsid w:val="00204403"/>
    <w:rsid w:val="0020660C"/>
    <w:rsid w:val="00207040"/>
    <w:rsid w:val="0021199B"/>
    <w:rsid w:val="002127E0"/>
    <w:rsid w:val="002137DF"/>
    <w:rsid w:val="00215181"/>
    <w:rsid w:val="002219A7"/>
    <w:rsid w:val="00232F08"/>
    <w:rsid w:val="00233F31"/>
    <w:rsid w:val="0023453B"/>
    <w:rsid w:val="00236CD5"/>
    <w:rsid w:val="00237C3C"/>
    <w:rsid w:val="00237E43"/>
    <w:rsid w:val="00241A77"/>
    <w:rsid w:val="00245A76"/>
    <w:rsid w:val="00246C97"/>
    <w:rsid w:val="00250909"/>
    <w:rsid w:val="00254A8B"/>
    <w:rsid w:val="00255ACC"/>
    <w:rsid w:val="002567D9"/>
    <w:rsid w:val="00257098"/>
    <w:rsid w:val="00264D0C"/>
    <w:rsid w:val="00265097"/>
    <w:rsid w:val="00270A1F"/>
    <w:rsid w:val="00270FC4"/>
    <w:rsid w:val="00272367"/>
    <w:rsid w:val="00272D7B"/>
    <w:rsid w:val="00274B37"/>
    <w:rsid w:val="00277AF1"/>
    <w:rsid w:val="002815C6"/>
    <w:rsid w:val="002816FC"/>
    <w:rsid w:val="002821A5"/>
    <w:rsid w:val="00282AD6"/>
    <w:rsid w:val="00283D46"/>
    <w:rsid w:val="00285BEB"/>
    <w:rsid w:val="0028702E"/>
    <w:rsid w:val="002879A7"/>
    <w:rsid w:val="00293074"/>
    <w:rsid w:val="00294777"/>
    <w:rsid w:val="0029545E"/>
    <w:rsid w:val="002A6CAF"/>
    <w:rsid w:val="002B6719"/>
    <w:rsid w:val="002B73A5"/>
    <w:rsid w:val="002C2C9B"/>
    <w:rsid w:val="002C48C6"/>
    <w:rsid w:val="002C5EA3"/>
    <w:rsid w:val="002D291B"/>
    <w:rsid w:val="002F4769"/>
    <w:rsid w:val="00304882"/>
    <w:rsid w:val="003056CF"/>
    <w:rsid w:val="00306EBB"/>
    <w:rsid w:val="0031206F"/>
    <w:rsid w:val="003122C0"/>
    <w:rsid w:val="003163AF"/>
    <w:rsid w:val="00322768"/>
    <w:rsid w:val="0032446A"/>
    <w:rsid w:val="00331201"/>
    <w:rsid w:val="003319D6"/>
    <w:rsid w:val="00331EBF"/>
    <w:rsid w:val="00333968"/>
    <w:rsid w:val="0033459E"/>
    <w:rsid w:val="003366ED"/>
    <w:rsid w:val="00337B91"/>
    <w:rsid w:val="003417A8"/>
    <w:rsid w:val="00350BD1"/>
    <w:rsid w:val="00351BB6"/>
    <w:rsid w:val="00352C61"/>
    <w:rsid w:val="00352D60"/>
    <w:rsid w:val="00352EB7"/>
    <w:rsid w:val="003546A0"/>
    <w:rsid w:val="0035633C"/>
    <w:rsid w:val="00360C24"/>
    <w:rsid w:val="00364140"/>
    <w:rsid w:val="00370CFC"/>
    <w:rsid w:val="00372D74"/>
    <w:rsid w:val="00375837"/>
    <w:rsid w:val="003758BE"/>
    <w:rsid w:val="003900FE"/>
    <w:rsid w:val="00392D2B"/>
    <w:rsid w:val="00393DBF"/>
    <w:rsid w:val="00393F26"/>
    <w:rsid w:val="00395EF4"/>
    <w:rsid w:val="003A25C9"/>
    <w:rsid w:val="003A553A"/>
    <w:rsid w:val="003A6BD3"/>
    <w:rsid w:val="003B38D2"/>
    <w:rsid w:val="003B50B7"/>
    <w:rsid w:val="003B6E26"/>
    <w:rsid w:val="003C194E"/>
    <w:rsid w:val="003C5DDD"/>
    <w:rsid w:val="003E1A33"/>
    <w:rsid w:val="003E53C7"/>
    <w:rsid w:val="003E6C6C"/>
    <w:rsid w:val="003F159D"/>
    <w:rsid w:val="003F661D"/>
    <w:rsid w:val="0041016A"/>
    <w:rsid w:val="004126C0"/>
    <w:rsid w:val="00417A29"/>
    <w:rsid w:val="00421E06"/>
    <w:rsid w:val="00421F8B"/>
    <w:rsid w:val="00426E7F"/>
    <w:rsid w:val="004275AE"/>
    <w:rsid w:val="004316E1"/>
    <w:rsid w:val="0043503D"/>
    <w:rsid w:val="004365A9"/>
    <w:rsid w:val="00445253"/>
    <w:rsid w:val="0045028E"/>
    <w:rsid w:val="0046494C"/>
    <w:rsid w:val="004679FE"/>
    <w:rsid w:val="004762C0"/>
    <w:rsid w:val="00476BF7"/>
    <w:rsid w:val="0048414A"/>
    <w:rsid w:val="004859CE"/>
    <w:rsid w:val="00494665"/>
    <w:rsid w:val="00495CCA"/>
    <w:rsid w:val="00497A4F"/>
    <w:rsid w:val="00497AB9"/>
    <w:rsid w:val="004A2585"/>
    <w:rsid w:val="004A2FE9"/>
    <w:rsid w:val="004C0B6E"/>
    <w:rsid w:val="004C6A77"/>
    <w:rsid w:val="004C7178"/>
    <w:rsid w:val="004D3166"/>
    <w:rsid w:val="004D6A01"/>
    <w:rsid w:val="004E0422"/>
    <w:rsid w:val="004E5318"/>
    <w:rsid w:val="004F3657"/>
    <w:rsid w:val="00500688"/>
    <w:rsid w:val="0050090A"/>
    <w:rsid w:val="005017A1"/>
    <w:rsid w:val="0050572E"/>
    <w:rsid w:val="00511008"/>
    <w:rsid w:val="00520DFA"/>
    <w:rsid w:val="005278AA"/>
    <w:rsid w:val="00535646"/>
    <w:rsid w:val="00535C92"/>
    <w:rsid w:val="00536622"/>
    <w:rsid w:val="00540574"/>
    <w:rsid w:val="005443AF"/>
    <w:rsid w:val="00546CA9"/>
    <w:rsid w:val="00553364"/>
    <w:rsid w:val="00553741"/>
    <w:rsid w:val="005546C9"/>
    <w:rsid w:val="005548F3"/>
    <w:rsid w:val="0055693D"/>
    <w:rsid w:val="0055790D"/>
    <w:rsid w:val="00557933"/>
    <w:rsid w:val="00557C76"/>
    <w:rsid w:val="005611A7"/>
    <w:rsid w:val="0056224D"/>
    <w:rsid w:val="005640CA"/>
    <w:rsid w:val="00573A2A"/>
    <w:rsid w:val="00574CF5"/>
    <w:rsid w:val="00575ACF"/>
    <w:rsid w:val="005767BB"/>
    <w:rsid w:val="00583069"/>
    <w:rsid w:val="00590DA9"/>
    <w:rsid w:val="005912F6"/>
    <w:rsid w:val="00592DEF"/>
    <w:rsid w:val="00593125"/>
    <w:rsid w:val="005935CE"/>
    <w:rsid w:val="00594702"/>
    <w:rsid w:val="00595663"/>
    <w:rsid w:val="005A0088"/>
    <w:rsid w:val="005A1305"/>
    <w:rsid w:val="005A1458"/>
    <w:rsid w:val="005A17F4"/>
    <w:rsid w:val="005A6D03"/>
    <w:rsid w:val="005B02E3"/>
    <w:rsid w:val="005B39FF"/>
    <w:rsid w:val="005B447D"/>
    <w:rsid w:val="005C0C3D"/>
    <w:rsid w:val="005C19E2"/>
    <w:rsid w:val="005C1F54"/>
    <w:rsid w:val="005C4E12"/>
    <w:rsid w:val="005C7695"/>
    <w:rsid w:val="005D34FA"/>
    <w:rsid w:val="005D41E0"/>
    <w:rsid w:val="005D575C"/>
    <w:rsid w:val="005D6434"/>
    <w:rsid w:val="005E14ED"/>
    <w:rsid w:val="005E6D0B"/>
    <w:rsid w:val="005E6E67"/>
    <w:rsid w:val="00601BBB"/>
    <w:rsid w:val="006024D2"/>
    <w:rsid w:val="00603DC4"/>
    <w:rsid w:val="00604C2C"/>
    <w:rsid w:val="00607727"/>
    <w:rsid w:val="00610FAC"/>
    <w:rsid w:val="00614F1D"/>
    <w:rsid w:val="006150B9"/>
    <w:rsid w:val="0061651B"/>
    <w:rsid w:val="00626C65"/>
    <w:rsid w:val="0063090C"/>
    <w:rsid w:val="00641576"/>
    <w:rsid w:val="00643392"/>
    <w:rsid w:val="006443A1"/>
    <w:rsid w:val="00645CF4"/>
    <w:rsid w:val="00651DAD"/>
    <w:rsid w:val="00657057"/>
    <w:rsid w:val="006608A4"/>
    <w:rsid w:val="00661F0C"/>
    <w:rsid w:val="00662F1F"/>
    <w:rsid w:val="0066751E"/>
    <w:rsid w:val="00667AE3"/>
    <w:rsid w:val="00671357"/>
    <w:rsid w:val="00674934"/>
    <w:rsid w:val="006776E7"/>
    <w:rsid w:val="006801BB"/>
    <w:rsid w:val="006804D1"/>
    <w:rsid w:val="00686565"/>
    <w:rsid w:val="006901DD"/>
    <w:rsid w:val="00690A18"/>
    <w:rsid w:val="00691E1E"/>
    <w:rsid w:val="00692035"/>
    <w:rsid w:val="006A06CD"/>
    <w:rsid w:val="006A1A14"/>
    <w:rsid w:val="006A272C"/>
    <w:rsid w:val="006B5E91"/>
    <w:rsid w:val="006C34D1"/>
    <w:rsid w:val="006C6661"/>
    <w:rsid w:val="006C73D5"/>
    <w:rsid w:val="006D2898"/>
    <w:rsid w:val="006D389E"/>
    <w:rsid w:val="006D46AC"/>
    <w:rsid w:val="006D6F7D"/>
    <w:rsid w:val="006E599B"/>
    <w:rsid w:val="006F698D"/>
    <w:rsid w:val="00704449"/>
    <w:rsid w:val="00706EA9"/>
    <w:rsid w:val="007146DD"/>
    <w:rsid w:val="0071706E"/>
    <w:rsid w:val="00724E45"/>
    <w:rsid w:val="00733C1E"/>
    <w:rsid w:val="0073704E"/>
    <w:rsid w:val="0073715F"/>
    <w:rsid w:val="00753AB9"/>
    <w:rsid w:val="007653BE"/>
    <w:rsid w:val="00767342"/>
    <w:rsid w:val="00767DF5"/>
    <w:rsid w:val="007751C9"/>
    <w:rsid w:val="00776314"/>
    <w:rsid w:val="00776A0D"/>
    <w:rsid w:val="007819EA"/>
    <w:rsid w:val="00782FB8"/>
    <w:rsid w:val="00784969"/>
    <w:rsid w:val="00784BF9"/>
    <w:rsid w:val="007857A8"/>
    <w:rsid w:val="0078666C"/>
    <w:rsid w:val="00787150"/>
    <w:rsid w:val="007A015E"/>
    <w:rsid w:val="007A38C9"/>
    <w:rsid w:val="007A3B6B"/>
    <w:rsid w:val="007A6EB7"/>
    <w:rsid w:val="007B63F8"/>
    <w:rsid w:val="007C12FB"/>
    <w:rsid w:val="007C21E4"/>
    <w:rsid w:val="007C30F1"/>
    <w:rsid w:val="007C3662"/>
    <w:rsid w:val="007C38D6"/>
    <w:rsid w:val="007D208B"/>
    <w:rsid w:val="007D2C19"/>
    <w:rsid w:val="007D3BEC"/>
    <w:rsid w:val="007E0632"/>
    <w:rsid w:val="007E186B"/>
    <w:rsid w:val="007E31A7"/>
    <w:rsid w:val="007E3D76"/>
    <w:rsid w:val="007E5025"/>
    <w:rsid w:val="007E7C3E"/>
    <w:rsid w:val="007F0806"/>
    <w:rsid w:val="007F2FAF"/>
    <w:rsid w:val="007F388D"/>
    <w:rsid w:val="007F6F86"/>
    <w:rsid w:val="007F6FE4"/>
    <w:rsid w:val="00803C26"/>
    <w:rsid w:val="00803CA5"/>
    <w:rsid w:val="00810557"/>
    <w:rsid w:val="00811835"/>
    <w:rsid w:val="008158AE"/>
    <w:rsid w:val="0081642D"/>
    <w:rsid w:val="008165F8"/>
    <w:rsid w:val="00816810"/>
    <w:rsid w:val="0082221B"/>
    <w:rsid w:val="008235B3"/>
    <w:rsid w:val="008310AB"/>
    <w:rsid w:val="00832427"/>
    <w:rsid w:val="008331E2"/>
    <w:rsid w:val="0083608A"/>
    <w:rsid w:val="0083617E"/>
    <w:rsid w:val="00840998"/>
    <w:rsid w:val="00846B11"/>
    <w:rsid w:val="008501C6"/>
    <w:rsid w:val="0085052A"/>
    <w:rsid w:val="00863799"/>
    <w:rsid w:val="00872274"/>
    <w:rsid w:val="00874EED"/>
    <w:rsid w:val="00877BF3"/>
    <w:rsid w:val="0088729D"/>
    <w:rsid w:val="00890E13"/>
    <w:rsid w:val="008950CB"/>
    <w:rsid w:val="008A0402"/>
    <w:rsid w:val="008A0986"/>
    <w:rsid w:val="008B06C2"/>
    <w:rsid w:val="008C29A5"/>
    <w:rsid w:val="008C4268"/>
    <w:rsid w:val="008C6997"/>
    <w:rsid w:val="008D4125"/>
    <w:rsid w:val="008D5B10"/>
    <w:rsid w:val="008D5E09"/>
    <w:rsid w:val="008E3939"/>
    <w:rsid w:val="008F5829"/>
    <w:rsid w:val="00900675"/>
    <w:rsid w:val="00922DB2"/>
    <w:rsid w:val="00925586"/>
    <w:rsid w:val="009267EB"/>
    <w:rsid w:val="00927097"/>
    <w:rsid w:val="00927C51"/>
    <w:rsid w:val="00930EB5"/>
    <w:rsid w:val="009420C4"/>
    <w:rsid w:val="00944233"/>
    <w:rsid w:val="0094632E"/>
    <w:rsid w:val="00946B46"/>
    <w:rsid w:val="00947AFD"/>
    <w:rsid w:val="00950DC6"/>
    <w:rsid w:val="00953BE4"/>
    <w:rsid w:val="00953C87"/>
    <w:rsid w:val="00956C74"/>
    <w:rsid w:val="00962010"/>
    <w:rsid w:val="00964B73"/>
    <w:rsid w:val="009769BE"/>
    <w:rsid w:val="00980748"/>
    <w:rsid w:val="00987972"/>
    <w:rsid w:val="009915E9"/>
    <w:rsid w:val="00993E21"/>
    <w:rsid w:val="0099483E"/>
    <w:rsid w:val="00994E23"/>
    <w:rsid w:val="009A2673"/>
    <w:rsid w:val="009B39BF"/>
    <w:rsid w:val="009B4ED4"/>
    <w:rsid w:val="009B4FAE"/>
    <w:rsid w:val="009B65B2"/>
    <w:rsid w:val="009C489C"/>
    <w:rsid w:val="009C54D3"/>
    <w:rsid w:val="009F37B4"/>
    <w:rsid w:val="009F624E"/>
    <w:rsid w:val="00A14801"/>
    <w:rsid w:val="00A1535B"/>
    <w:rsid w:val="00A164D1"/>
    <w:rsid w:val="00A173DC"/>
    <w:rsid w:val="00A2354B"/>
    <w:rsid w:val="00A24D4F"/>
    <w:rsid w:val="00A272CB"/>
    <w:rsid w:val="00A32213"/>
    <w:rsid w:val="00A46E04"/>
    <w:rsid w:val="00A53240"/>
    <w:rsid w:val="00A54548"/>
    <w:rsid w:val="00A6457F"/>
    <w:rsid w:val="00A6741D"/>
    <w:rsid w:val="00A70721"/>
    <w:rsid w:val="00A70F66"/>
    <w:rsid w:val="00A71897"/>
    <w:rsid w:val="00A72702"/>
    <w:rsid w:val="00A80714"/>
    <w:rsid w:val="00A827B3"/>
    <w:rsid w:val="00A85871"/>
    <w:rsid w:val="00A86246"/>
    <w:rsid w:val="00A90819"/>
    <w:rsid w:val="00A90C23"/>
    <w:rsid w:val="00A94349"/>
    <w:rsid w:val="00AB1213"/>
    <w:rsid w:val="00AB6BFD"/>
    <w:rsid w:val="00AC21B7"/>
    <w:rsid w:val="00AC3D26"/>
    <w:rsid w:val="00AE432B"/>
    <w:rsid w:val="00AF54AD"/>
    <w:rsid w:val="00B01212"/>
    <w:rsid w:val="00B043C7"/>
    <w:rsid w:val="00B10DA4"/>
    <w:rsid w:val="00B23460"/>
    <w:rsid w:val="00B2386C"/>
    <w:rsid w:val="00B32EFF"/>
    <w:rsid w:val="00B35BF0"/>
    <w:rsid w:val="00B41426"/>
    <w:rsid w:val="00B4515A"/>
    <w:rsid w:val="00B47634"/>
    <w:rsid w:val="00B504FD"/>
    <w:rsid w:val="00B52912"/>
    <w:rsid w:val="00B56707"/>
    <w:rsid w:val="00B65C56"/>
    <w:rsid w:val="00B76540"/>
    <w:rsid w:val="00B7679A"/>
    <w:rsid w:val="00B77AC3"/>
    <w:rsid w:val="00B818F4"/>
    <w:rsid w:val="00B83861"/>
    <w:rsid w:val="00B96808"/>
    <w:rsid w:val="00BA3CB4"/>
    <w:rsid w:val="00BA5065"/>
    <w:rsid w:val="00BA6D57"/>
    <w:rsid w:val="00BA7634"/>
    <w:rsid w:val="00BA7F31"/>
    <w:rsid w:val="00BD3548"/>
    <w:rsid w:val="00BD7057"/>
    <w:rsid w:val="00C07B57"/>
    <w:rsid w:val="00C11A0B"/>
    <w:rsid w:val="00C12914"/>
    <w:rsid w:val="00C16075"/>
    <w:rsid w:val="00C211CA"/>
    <w:rsid w:val="00C2439D"/>
    <w:rsid w:val="00C26456"/>
    <w:rsid w:val="00C3072C"/>
    <w:rsid w:val="00C3372B"/>
    <w:rsid w:val="00C5082D"/>
    <w:rsid w:val="00C5150B"/>
    <w:rsid w:val="00C51808"/>
    <w:rsid w:val="00C54A1B"/>
    <w:rsid w:val="00C57B92"/>
    <w:rsid w:val="00C66A67"/>
    <w:rsid w:val="00C75956"/>
    <w:rsid w:val="00C8025D"/>
    <w:rsid w:val="00C80BF7"/>
    <w:rsid w:val="00C90165"/>
    <w:rsid w:val="00C93378"/>
    <w:rsid w:val="00C97867"/>
    <w:rsid w:val="00CA4542"/>
    <w:rsid w:val="00CA73E9"/>
    <w:rsid w:val="00CA7710"/>
    <w:rsid w:val="00CB4599"/>
    <w:rsid w:val="00CB510C"/>
    <w:rsid w:val="00CB76EF"/>
    <w:rsid w:val="00CC002F"/>
    <w:rsid w:val="00CC029A"/>
    <w:rsid w:val="00CC0860"/>
    <w:rsid w:val="00CC6455"/>
    <w:rsid w:val="00CD0B23"/>
    <w:rsid w:val="00CD3149"/>
    <w:rsid w:val="00CD3F1A"/>
    <w:rsid w:val="00CD51EA"/>
    <w:rsid w:val="00CD5230"/>
    <w:rsid w:val="00CE4E84"/>
    <w:rsid w:val="00CF5D57"/>
    <w:rsid w:val="00CF631D"/>
    <w:rsid w:val="00CF749F"/>
    <w:rsid w:val="00D115A7"/>
    <w:rsid w:val="00D16C91"/>
    <w:rsid w:val="00D27314"/>
    <w:rsid w:val="00D32C20"/>
    <w:rsid w:val="00D345C7"/>
    <w:rsid w:val="00D361ED"/>
    <w:rsid w:val="00D379C8"/>
    <w:rsid w:val="00D44D44"/>
    <w:rsid w:val="00D567BA"/>
    <w:rsid w:val="00D679E2"/>
    <w:rsid w:val="00D739AD"/>
    <w:rsid w:val="00D767CD"/>
    <w:rsid w:val="00D820E6"/>
    <w:rsid w:val="00D8643B"/>
    <w:rsid w:val="00D910E6"/>
    <w:rsid w:val="00D936F4"/>
    <w:rsid w:val="00DB0A88"/>
    <w:rsid w:val="00DB2A7A"/>
    <w:rsid w:val="00DB728D"/>
    <w:rsid w:val="00DC0A60"/>
    <w:rsid w:val="00DC13C0"/>
    <w:rsid w:val="00DC6870"/>
    <w:rsid w:val="00DD3233"/>
    <w:rsid w:val="00DD3629"/>
    <w:rsid w:val="00DD6B83"/>
    <w:rsid w:val="00DE1DB8"/>
    <w:rsid w:val="00DE2875"/>
    <w:rsid w:val="00DE3DA2"/>
    <w:rsid w:val="00DE78CD"/>
    <w:rsid w:val="00DF06A1"/>
    <w:rsid w:val="00DF1769"/>
    <w:rsid w:val="00E04FC5"/>
    <w:rsid w:val="00E121BC"/>
    <w:rsid w:val="00E25821"/>
    <w:rsid w:val="00E367BF"/>
    <w:rsid w:val="00E42B96"/>
    <w:rsid w:val="00E42D4F"/>
    <w:rsid w:val="00E568FA"/>
    <w:rsid w:val="00E60BFF"/>
    <w:rsid w:val="00E72110"/>
    <w:rsid w:val="00E73E82"/>
    <w:rsid w:val="00E81A81"/>
    <w:rsid w:val="00E82D64"/>
    <w:rsid w:val="00E83C0D"/>
    <w:rsid w:val="00E83C97"/>
    <w:rsid w:val="00E83F91"/>
    <w:rsid w:val="00E86483"/>
    <w:rsid w:val="00E9052A"/>
    <w:rsid w:val="00E905CA"/>
    <w:rsid w:val="00E90F04"/>
    <w:rsid w:val="00E91E3A"/>
    <w:rsid w:val="00EA0741"/>
    <w:rsid w:val="00EA319A"/>
    <w:rsid w:val="00EA4D61"/>
    <w:rsid w:val="00EA6A7F"/>
    <w:rsid w:val="00EB0EF7"/>
    <w:rsid w:val="00EB12CD"/>
    <w:rsid w:val="00EB411F"/>
    <w:rsid w:val="00EB4351"/>
    <w:rsid w:val="00EB45D8"/>
    <w:rsid w:val="00EB52A5"/>
    <w:rsid w:val="00EC069D"/>
    <w:rsid w:val="00EC30AC"/>
    <w:rsid w:val="00ED593C"/>
    <w:rsid w:val="00ED5987"/>
    <w:rsid w:val="00EE0149"/>
    <w:rsid w:val="00EE3874"/>
    <w:rsid w:val="00EE494D"/>
    <w:rsid w:val="00EE59FC"/>
    <w:rsid w:val="00EE6149"/>
    <w:rsid w:val="00EF3086"/>
    <w:rsid w:val="00F01D45"/>
    <w:rsid w:val="00F0440E"/>
    <w:rsid w:val="00F14547"/>
    <w:rsid w:val="00F17113"/>
    <w:rsid w:val="00F21421"/>
    <w:rsid w:val="00F21CCB"/>
    <w:rsid w:val="00F220C6"/>
    <w:rsid w:val="00F22180"/>
    <w:rsid w:val="00F2248C"/>
    <w:rsid w:val="00F25371"/>
    <w:rsid w:val="00F361C6"/>
    <w:rsid w:val="00F43BBC"/>
    <w:rsid w:val="00F52330"/>
    <w:rsid w:val="00F6112D"/>
    <w:rsid w:val="00F625B5"/>
    <w:rsid w:val="00F63EA2"/>
    <w:rsid w:val="00F66366"/>
    <w:rsid w:val="00F67A34"/>
    <w:rsid w:val="00F72B6B"/>
    <w:rsid w:val="00F827DB"/>
    <w:rsid w:val="00F9340E"/>
    <w:rsid w:val="00F94AF8"/>
    <w:rsid w:val="00F95DF0"/>
    <w:rsid w:val="00F97701"/>
    <w:rsid w:val="00FA32F9"/>
    <w:rsid w:val="00FA65ED"/>
    <w:rsid w:val="00FB26D4"/>
    <w:rsid w:val="00FB6DB0"/>
    <w:rsid w:val="00FC052E"/>
    <w:rsid w:val="00FC1DCE"/>
    <w:rsid w:val="00FC39B9"/>
    <w:rsid w:val="00FE3B17"/>
    <w:rsid w:val="00FF25AE"/>
    <w:rsid w:val="00FF7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8EAC8"/>
  <w15:docId w15:val="{ACE26D66-7FBA-4A43-8267-942A6A18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065"/>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BA5065"/>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qFormat/>
    <w:rsid w:val="00BA5065"/>
    <w:pPr>
      <w:keepNext/>
      <w:jc w:val="center"/>
      <w:outlineLvl w:val="2"/>
    </w:pPr>
    <w:rPr>
      <w:b/>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5065"/>
    <w:rPr>
      <w:rFonts w:ascii="Cambria" w:eastAsia="Times New Roman" w:hAnsi="Cambria" w:cs="Times New Roman"/>
      <w:b/>
      <w:bCs/>
      <w:kern w:val="32"/>
      <w:sz w:val="32"/>
      <w:szCs w:val="32"/>
      <w:lang w:val="x-none" w:eastAsia="x-none"/>
    </w:rPr>
  </w:style>
  <w:style w:type="character" w:customStyle="1" w:styleId="Heading3Char">
    <w:name w:val="Heading 3 Char"/>
    <w:basedOn w:val="DefaultParagraphFont"/>
    <w:link w:val="Heading3"/>
    <w:rsid w:val="00BA5065"/>
    <w:rPr>
      <w:rFonts w:ascii="Times New Roman" w:eastAsia="Times New Roman" w:hAnsi="Times New Roman" w:cs="Times New Roman"/>
      <w:b/>
      <w:sz w:val="28"/>
      <w:szCs w:val="20"/>
      <w:lang w:val="x-none" w:eastAsia="x-none"/>
    </w:rPr>
  </w:style>
  <w:style w:type="paragraph" w:styleId="Footer">
    <w:name w:val="footer"/>
    <w:basedOn w:val="Normal"/>
    <w:link w:val="FooterChar"/>
    <w:uiPriority w:val="99"/>
    <w:rsid w:val="00BA5065"/>
    <w:pPr>
      <w:tabs>
        <w:tab w:val="center" w:pos="4320"/>
        <w:tab w:val="right" w:pos="8640"/>
      </w:tabs>
    </w:pPr>
    <w:rPr>
      <w:lang w:val="x-none" w:eastAsia="x-none"/>
    </w:rPr>
  </w:style>
  <w:style w:type="character" w:customStyle="1" w:styleId="FooterChar">
    <w:name w:val="Footer Char"/>
    <w:basedOn w:val="DefaultParagraphFont"/>
    <w:link w:val="Footer"/>
    <w:uiPriority w:val="99"/>
    <w:rsid w:val="00BA5065"/>
    <w:rPr>
      <w:rFonts w:ascii="Times New Roman" w:eastAsia="Times New Roman" w:hAnsi="Times New Roman" w:cs="Times New Roman"/>
      <w:sz w:val="28"/>
      <w:szCs w:val="28"/>
      <w:lang w:val="x-none" w:eastAsia="x-none"/>
    </w:rPr>
  </w:style>
  <w:style w:type="character" w:styleId="PageNumber">
    <w:name w:val="page number"/>
    <w:basedOn w:val="DefaultParagraphFont"/>
    <w:rsid w:val="00BA5065"/>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BA5065"/>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BA5065"/>
    <w:rPr>
      <w:rFonts w:ascii="Times New Roman" w:eastAsia="Times New Roman" w:hAnsi="Times New Roman" w:cs="Times New Roman"/>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arattereCarattereCharCharCharCharCharCharZchn"/>
    <w:qFormat/>
    <w:rsid w:val="00BA5065"/>
    <w:rPr>
      <w:vertAlign w:val="superscript"/>
    </w:rPr>
  </w:style>
  <w:style w:type="paragraph" w:customStyle="1" w:styleId="Body1">
    <w:name w:val="Body 1"/>
    <w:rsid w:val="00BA5065"/>
    <w:pPr>
      <w:spacing w:after="0" w:line="240" w:lineRule="auto"/>
      <w:outlineLvl w:val="0"/>
    </w:pPr>
    <w:rPr>
      <w:rFonts w:ascii="Times New Roman" w:eastAsia="Arial Unicode MS" w:hAnsi="Times New Roman" w:cs="Times New Roman"/>
      <w:color w:val="000000"/>
      <w:sz w:val="28"/>
      <w:szCs w:val="20"/>
      <w:u w:color="000000"/>
    </w:rPr>
  </w:style>
  <w:style w:type="character" w:styleId="Strong">
    <w:name w:val="Strong"/>
    <w:qFormat/>
    <w:rsid w:val="00BA5065"/>
    <w:rPr>
      <w:b/>
      <w:bCs/>
    </w:rPr>
  </w:style>
  <w:style w:type="paragraph" w:styleId="Header">
    <w:name w:val="header"/>
    <w:basedOn w:val="Normal"/>
    <w:link w:val="HeaderChar"/>
    <w:uiPriority w:val="99"/>
    <w:unhideWhenUsed/>
    <w:rsid w:val="00BA5065"/>
    <w:pPr>
      <w:tabs>
        <w:tab w:val="center" w:pos="4680"/>
        <w:tab w:val="right" w:pos="9360"/>
      </w:tabs>
    </w:pPr>
  </w:style>
  <w:style w:type="character" w:customStyle="1" w:styleId="HeaderChar">
    <w:name w:val="Header Char"/>
    <w:basedOn w:val="DefaultParagraphFont"/>
    <w:link w:val="Header"/>
    <w:uiPriority w:val="99"/>
    <w:rsid w:val="00BA5065"/>
    <w:rPr>
      <w:rFonts w:ascii="Times New Roman" w:eastAsia="Times New Roman" w:hAnsi="Times New Roman" w:cs="Times New Roman"/>
      <w:sz w:val="28"/>
      <w:szCs w:val="28"/>
    </w:rPr>
  </w:style>
  <w:style w:type="character" w:customStyle="1" w:styleId="Bodytext4">
    <w:name w:val="Body text (4)_"/>
    <w:link w:val="Bodytext40"/>
    <w:rsid w:val="00BA5065"/>
    <w:rPr>
      <w:sz w:val="21"/>
      <w:szCs w:val="21"/>
      <w:shd w:val="clear" w:color="auto" w:fill="FFFFFF"/>
    </w:rPr>
  </w:style>
  <w:style w:type="paragraph" w:customStyle="1" w:styleId="Bodytext40">
    <w:name w:val="Body text (4)"/>
    <w:basedOn w:val="Normal"/>
    <w:link w:val="Bodytext4"/>
    <w:rsid w:val="00BA5065"/>
    <w:pPr>
      <w:widowControl w:val="0"/>
      <w:shd w:val="clear" w:color="auto" w:fill="FFFFFF"/>
      <w:spacing w:line="245" w:lineRule="exact"/>
      <w:jc w:val="both"/>
    </w:pPr>
    <w:rPr>
      <w:rFonts w:asciiTheme="minorHAnsi" w:eastAsiaTheme="minorHAnsi" w:hAnsiTheme="minorHAnsi" w:cstheme="minorBidi"/>
      <w:sz w:val="21"/>
      <w:szCs w:val="21"/>
    </w:rPr>
  </w:style>
  <w:style w:type="paragraph" w:customStyle="1" w:styleId="CharChar">
    <w:name w:val="Char Char"/>
    <w:basedOn w:val="Normal"/>
    <w:semiHidden/>
    <w:rsid w:val="00E04FC5"/>
    <w:pPr>
      <w:spacing w:after="160" w:line="240" w:lineRule="exact"/>
    </w:pPr>
    <w:rPr>
      <w:rFonts w:ascii="Arial" w:hAnsi="Arial"/>
      <w:sz w:val="22"/>
      <w:szCs w:val="22"/>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D820E6"/>
    <w:pPr>
      <w:spacing w:after="160" w:line="240" w:lineRule="exact"/>
    </w:pPr>
    <w:rPr>
      <w:rFonts w:asciiTheme="minorHAnsi" w:eastAsiaTheme="minorHAnsi" w:hAnsiTheme="minorHAnsi" w:cstheme="minorBidi"/>
      <w:sz w:val="22"/>
      <w:szCs w:val="22"/>
      <w:vertAlign w:val="superscript"/>
    </w:rPr>
  </w:style>
  <w:style w:type="paragraph" w:styleId="BodyTextIndent">
    <w:name w:val="Body Text Indent"/>
    <w:basedOn w:val="Normal"/>
    <w:link w:val="BodyTextIndentChar"/>
    <w:uiPriority w:val="99"/>
    <w:semiHidden/>
    <w:unhideWhenUsed/>
    <w:rsid w:val="00CD5230"/>
    <w:pPr>
      <w:spacing w:after="120"/>
      <w:ind w:left="360"/>
    </w:pPr>
  </w:style>
  <w:style w:type="character" w:customStyle="1" w:styleId="BodyTextIndentChar">
    <w:name w:val="Body Text Indent Char"/>
    <w:basedOn w:val="DefaultParagraphFont"/>
    <w:link w:val="BodyTextIndent"/>
    <w:uiPriority w:val="99"/>
    <w:semiHidden/>
    <w:rsid w:val="00CD5230"/>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B968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808"/>
    <w:rPr>
      <w:rFonts w:ascii="Segoe UI" w:eastAsia="Times New Roman" w:hAnsi="Segoe UI" w:cs="Segoe UI"/>
      <w:sz w:val="18"/>
      <w:szCs w:val="18"/>
    </w:rPr>
  </w:style>
  <w:style w:type="paragraph" w:customStyle="1" w:styleId="MysA">
    <w:name w:val="MysA"/>
    <w:basedOn w:val="Normal"/>
    <w:rsid w:val="0056224D"/>
    <w:pPr>
      <w:numPr>
        <w:numId w:val="1"/>
      </w:numPr>
      <w:spacing w:after="60"/>
      <w:jc w:val="both"/>
    </w:pPr>
    <w:rPr>
      <w:rFonts w:ascii="VNI-Times" w:hAnsi="VNI-Times"/>
      <w:szCs w:val="20"/>
    </w:rPr>
  </w:style>
  <w:style w:type="paragraph" w:styleId="EndnoteText">
    <w:name w:val="endnote text"/>
    <w:basedOn w:val="Normal"/>
    <w:link w:val="EndnoteTextChar"/>
    <w:uiPriority w:val="99"/>
    <w:semiHidden/>
    <w:unhideWhenUsed/>
    <w:rsid w:val="00614F1D"/>
    <w:rPr>
      <w:sz w:val="20"/>
      <w:szCs w:val="20"/>
    </w:rPr>
  </w:style>
  <w:style w:type="character" w:customStyle="1" w:styleId="EndnoteTextChar">
    <w:name w:val="Endnote Text Char"/>
    <w:basedOn w:val="DefaultParagraphFont"/>
    <w:link w:val="EndnoteText"/>
    <w:uiPriority w:val="99"/>
    <w:semiHidden/>
    <w:rsid w:val="00614F1D"/>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614F1D"/>
    <w:rPr>
      <w:vertAlign w:val="superscript"/>
    </w:rPr>
  </w:style>
  <w:style w:type="paragraph" w:customStyle="1" w:styleId="Char2">
    <w:name w:val="Char2"/>
    <w:basedOn w:val="Normal"/>
    <w:uiPriority w:val="99"/>
    <w:rsid w:val="00D567BA"/>
    <w:pPr>
      <w:spacing w:after="160" w:line="240" w:lineRule="exact"/>
      <w:ind w:firstLine="709"/>
      <w:jc w:val="both"/>
    </w:pPr>
    <w:rPr>
      <w:rFonts w:ascii="Calibri" w:eastAsia="Calibri" w:hAnsi="Calibri"/>
      <w:sz w:val="20"/>
      <w:szCs w:val="20"/>
      <w:vertAlign w:val="superscript"/>
    </w:rPr>
  </w:style>
  <w:style w:type="character" w:styleId="CommentReference">
    <w:name w:val="annotation reference"/>
    <w:basedOn w:val="DefaultParagraphFont"/>
    <w:uiPriority w:val="99"/>
    <w:semiHidden/>
    <w:unhideWhenUsed/>
    <w:rsid w:val="00352EB7"/>
    <w:rPr>
      <w:sz w:val="16"/>
      <w:szCs w:val="16"/>
    </w:rPr>
  </w:style>
  <w:style w:type="paragraph" w:styleId="CommentText">
    <w:name w:val="annotation text"/>
    <w:basedOn w:val="Normal"/>
    <w:link w:val="CommentTextChar"/>
    <w:uiPriority w:val="99"/>
    <w:semiHidden/>
    <w:unhideWhenUsed/>
    <w:rsid w:val="00352EB7"/>
    <w:rPr>
      <w:sz w:val="20"/>
      <w:szCs w:val="20"/>
    </w:rPr>
  </w:style>
  <w:style w:type="character" w:customStyle="1" w:styleId="CommentTextChar">
    <w:name w:val="Comment Text Char"/>
    <w:basedOn w:val="DefaultParagraphFont"/>
    <w:link w:val="CommentText"/>
    <w:uiPriority w:val="99"/>
    <w:semiHidden/>
    <w:rsid w:val="00352EB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52EB7"/>
    <w:rPr>
      <w:b/>
      <w:bCs/>
    </w:rPr>
  </w:style>
  <w:style w:type="character" w:customStyle="1" w:styleId="CommentSubjectChar">
    <w:name w:val="Comment Subject Char"/>
    <w:basedOn w:val="CommentTextChar"/>
    <w:link w:val="CommentSubject"/>
    <w:uiPriority w:val="99"/>
    <w:semiHidden/>
    <w:rsid w:val="00352EB7"/>
    <w:rPr>
      <w:rFonts w:ascii="Times New Roman" w:eastAsia="Times New Roman" w:hAnsi="Times New Roman" w:cs="Times New Roman"/>
      <w:b/>
      <w:bCs/>
      <w:sz w:val="20"/>
      <w:szCs w:val="20"/>
    </w:rPr>
  </w:style>
  <w:style w:type="paragraph" w:styleId="ListParagraph">
    <w:name w:val="List Paragraph"/>
    <w:basedOn w:val="Normal"/>
    <w:uiPriority w:val="34"/>
    <w:qFormat/>
    <w:rsid w:val="00086F72"/>
    <w:pPr>
      <w:ind w:left="720"/>
      <w:contextualSpacing/>
    </w:pPr>
  </w:style>
  <w:style w:type="paragraph" w:customStyle="1" w:styleId="CharChar0">
    <w:name w:val="Char Char"/>
    <w:basedOn w:val="Normal"/>
    <w:semiHidden/>
    <w:rsid w:val="00D767CD"/>
    <w:pPr>
      <w:spacing w:after="160" w:line="240" w:lineRule="exact"/>
    </w:pPr>
    <w:rPr>
      <w:rFonts w:ascii="Arial" w:hAnsi="Arial"/>
      <w:sz w:val="22"/>
      <w:szCs w:val="22"/>
    </w:rPr>
  </w:style>
  <w:style w:type="paragraph" w:customStyle="1" w:styleId="CharChar1">
    <w:name w:val="Char Char"/>
    <w:basedOn w:val="Normal"/>
    <w:semiHidden/>
    <w:rsid w:val="00643392"/>
    <w:pPr>
      <w:spacing w:after="160" w:line="240" w:lineRule="exact"/>
    </w:pPr>
    <w:rPr>
      <w:rFonts w:ascii="Arial" w:hAnsi="Arial"/>
      <w:sz w:val="22"/>
      <w:szCs w:val="22"/>
    </w:rPr>
  </w:style>
  <w:style w:type="paragraph" w:customStyle="1" w:styleId="FootnoteChar1">
    <w:name w:val="Footnote Char1"/>
    <w:aliases w:val="Footnote text Char1,ftref Char1,BearingPoint Char1,16 Point Char1,Superscript 6 Point Char1,fr Char1,Footnote Text1 Char1,f Char1,Ref Char1,de nota al pie Char1,Footnote + Arial Char1,10 pt Char1,Black Char1"/>
    <w:basedOn w:val="Normal"/>
    <w:rsid w:val="003B6E26"/>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373E9-EE76-4062-96BD-20280656C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3173</Words>
  <Characters>18089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10</cp:revision>
  <cp:lastPrinted>2025-04-21T08:59:00Z</cp:lastPrinted>
  <dcterms:created xsi:type="dcterms:W3CDTF">2025-04-21T02:32:00Z</dcterms:created>
  <dcterms:modified xsi:type="dcterms:W3CDTF">2025-04-24T08:17:00Z</dcterms:modified>
</cp:coreProperties>
</file>